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9D224" w14:textId="77777777" w:rsidR="00D46DDB" w:rsidRPr="00FB0D93" w:rsidRDefault="002A107E">
      <w:pPr>
        <w:pStyle w:val="Titre1"/>
        <w:ind w:left="426" w:hanging="426"/>
        <w:jc w:val="left"/>
        <w:rPr>
          <w:lang w:val="fr-BE"/>
        </w:rPr>
      </w:pPr>
      <w:bookmarkStart w:id="0" w:name="_Toc20297994"/>
      <w:r w:rsidRPr="00FB0D93">
        <w:rPr>
          <w:lang w:val="fr-BE"/>
        </w:rPr>
        <w:t>Table des matières des annexes</w:t>
      </w:r>
      <w:bookmarkEnd w:id="0"/>
      <w:r w:rsidR="001B413C" w:rsidRPr="00FB0D93">
        <w:rPr>
          <w:lang w:val="fr-BE"/>
        </w:rPr>
        <w:t xml:space="preserve">                               </w:t>
      </w:r>
    </w:p>
    <w:p w14:paraId="0769D225" w14:textId="77777777" w:rsidR="00EB42FC" w:rsidRPr="00FB0D93" w:rsidRDefault="00EB42FC" w:rsidP="00EB42FC">
      <w:pPr>
        <w:rPr>
          <w:lang w:val="fr-BE"/>
        </w:rPr>
      </w:pPr>
    </w:p>
    <w:p w14:paraId="094B2D90" w14:textId="24D343DA" w:rsidR="00185B8A" w:rsidRPr="00FB0D93" w:rsidRDefault="003C68B2">
      <w:pPr>
        <w:pStyle w:val="TM1"/>
        <w:rPr>
          <w:rFonts w:asciiTheme="minorHAnsi" w:eastAsiaTheme="minorEastAsia" w:hAnsiTheme="minorHAnsi" w:cstheme="minorBidi"/>
          <w:bCs w:val="0"/>
          <w:noProof w:val="0"/>
          <w:sz w:val="22"/>
          <w:szCs w:val="22"/>
          <w:lang w:val="fr-BE" w:eastAsia="fr-BE"/>
        </w:rPr>
      </w:pPr>
      <w:r w:rsidRPr="00FB0D93">
        <w:rPr>
          <w:noProof w:val="0"/>
          <w:lang w:val="fr-BE"/>
        </w:rPr>
        <w:fldChar w:fldCharType="begin"/>
      </w:r>
      <w:r w:rsidR="00B702EA" w:rsidRPr="00FB0D93">
        <w:rPr>
          <w:noProof w:val="0"/>
          <w:lang w:val="fr-BE"/>
        </w:rPr>
        <w:instrText xml:space="preserve"> TOC \o "1-1" \h \z \u </w:instrText>
      </w:r>
      <w:r w:rsidRPr="00FB0D93">
        <w:rPr>
          <w:noProof w:val="0"/>
          <w:lang w:val="fr-BE"/>
        </w:rPr>
        <w:fldChar w:fldCharType="separate"/>
      </w:r>
      <w:hyperlink w:anchor="_Toc20297994" w:history="1">
        <w:r w:rsidR="00185B8A" w:rsidRPr="00FB0D93">
          <w:rPr>
            <w:rStyle w:val="Lienhypertexte"/>
            <w:noProof w:val="0"/>
            <w:color w:val="auto"/>
            <w:lang w:val="fr-BE"/>
          </w:rPr>
          <w:t>0</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Table des matières des annexes</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_Toc20297994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26</w:t>
        </w:r>
        <w:r w:rsidR="00185B8A" w:rsidRPr="00FB0D93">
          <w:rPr>
            <w:noProof w:val="0"/>
            <w:webHidden/>
            <w:lang w:val="fr-BE"/>
          </w:rPr>
          <w:fldChar w:fldCharType="end"/>
        </w:r>
      </w:hyperlink>
    </w:p>
    <w:p w14:paraId="241FA330" w14:textId="77EC9491"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7995" w:history="1">
        <w:r w:rsidR="00185B8A" w:rsidRPr="00FB0D93">
          <w:rPr>
            <w:rStyle w:val="Lienhypertexte"/>
            <w:noProof w:val="0"/>
            <w:color w:val="auto"/>
            <w:lang w:val="fr-BE"/>
          </w:rPr>
          <w:t>1</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Déchets d’emballages ménagers et partie non-emballages de la fraction papier-carton visés par le scénario de collecte de Fost Plus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_Toc20297995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27</w:t>
        </w:r>
        <w:r w:rsidR="00185B8A" w:rsidRPr="00FB0D93">
          <w:rPr>
            <w:noProof w:val="0"/>
            <w:webHidden/>
            <w:lang w:val="fr-BE"/>
          </w:rPr>
          <w:fldChar w:fldCharType="end"/>
        </w:r>
      </w:hyperlink>
    </w:p>
    <w:p w14:paraId="6CC432EA" w14:textId="59C30E35"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7996" w:history="1">
        <w:r w:rsidR="00185B8A" w:rsidRPr="00FB0D93">
          <w:rPr>
            <w:rStyle w:val="Lienhypertexte"/>
            <w:noProof w:val="0"/>
            <w:color w:val="auto"/>
            <w:lang w:val="fr-BE"/>
          </w:rPr>
          <w:t>2</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Liste des Communes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_Toc20297996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29</w:t>
        </w:r>
        <w:r w:rsidR="00185B8A" w:rsidRPr="00FB0D93">
          <w:rPr>
            <w:noProof w:val="0"/>
            <w:webHidden/>
            <w:lang w:val="fr-BE"/>
          </w:rPr>
          <w:fldChar w:fldCharType="end"/>
        </w:r>
      </w:hyperlink>
    </w:p>
    <w:p w14:paraId="2871361C" w14:textId="79E511B8"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7998" w:history="1">
        <w:r w:rsidR="00185B8A" w:rsidRPr="00FB0D93">
          <w:rPr>
            <w:rStyle w:val="Lienhypertexte"/>
            <w:noProof w:val="0"/>
            <w:color w:val="auto"/>
            <w:lang w:val="fr-BE"/>
          </w:rPr>
          <w:t>3</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Délégations de pouvoirs ou de gestion/d’administration des Communes à l'intercommunale : les conventions avec les communes et/ou statuts de l’INTERCOMMUNALE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_Toc20297998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30</w:t>
        </w:r>
        <w:r w:rsidR="00185B8A" w:rsidRPr="00FB0D93">
          <w:rPr>
            <w:noProof w:val="0"/>
            <w:webHidden/>
            <w:lang w:val="fr-BE"/>
          </w:rPr>
          <w:fldChar w:fldCharType="end"/>
        </w:r>
      </w:hyperlink>
    </w:p>
    <w:p w14:paraId="1A35A54B" w14:textId="7C9E6537"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7999" w:history="1">
        <w:r w:rsidR="00185B8A" w:rsidRPr="00FB0D93">
          <w:rPr>
            <w:rStyle w:val="Lienhypertexte"/>
            <w:noProof w:val="0"/>
            <w:color w:val="auto"/>
            <w:lang w:val="fr-BE"/>
          </w:rPr>
          <w:t>4</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Scénario de collecte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_Toc20297999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31</w:t>
        </w:r>
        <w:r w:rsidR="00185B8A" w:rsidRPr="00FB0D93">
          <w:rPr>
            <w:noProof w:val="0"/>
            <w:webHidden/>
            <w:lang w:val="fr-BE"/>
          </w:rPr>
          <w:fldChar w:fldCharType="end"/>
        </w:r>
      </w:hyperlink>
    </w:p>
    <w:p w14:paraId="1712EEE9" w14:textId="3A446E8C"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0" w:history="1">
        <w:r w:rsidR="00185B8A" w:rsidRPr="00FB0D93">
          <w:rPr>
            <w:rStyle w:val="Lienhypertexte"/>
            <w:noProof w:val="0"/>
            <w:color w:val="auto"/>
            <w:lang w:val="fr-BE"/>
          </w:rPr>
          <w:t>5</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Financement de la Collecte Sélective et du Tri par Fost Plus des fractions Verre, Papier-Carton et PMC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_Toc20298000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32</w:t>
        </w:r>
        <w:r w:rsidR="00185B8A" w:rsidRPr="00FB0D93">
          <w:rPr>
            <w:noProof w:val="0"/>
            <w:webHidden/>
            <w:lang w:val="fr-BE"/>
          </w:rPr>
          <w:fldChar w:fldCharType="end"/>
        </w:r>
      </w:hyperlink>
    </w:p>
    <w:p w14:paraId="4C64311E" w14:textId="51C3333E"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1" w:history="1">
        <w:r w:rsidR="00185B8A" w:rsidRPr="00FB0D93">
          <w:rPr>
            <w:rStyle w:val="Lienhypertexte"/>
            <w:noProof w:val="0"/>
            <w:color w:val="auto"/>
            <w:lang w:val="fr-BE"/>
          </w:rPr>
          <w:t>6</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Tarifs pour les activités de collecte sélective et de tri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_Toc20298001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37</w:t>
        </w:r>
        <w:r w:rsidR="00185B8A" w:rsidRPr="00FB0D93">
          <w:rPr>
            <w:noProof w:val="0"/>
            <w:webHidden/>
            <w:lang w:val="fr-BE"/>
          </w:rPr>
          <w:fldChar w:fldCharType="end"/>
        </w:r>
      </w:hyperlink>
    </w:p>
    <w:p w14:paraId="3ABD28E3" w14:textId="19C3854D"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2" w:history="1">
        <w:r w:rsidR="00185B8A" w:rsidRPr="00FB0D93">
          <w:rPr>
            <w:rStyle w:val="Lienhypertexte"/>
            <w:noProof w:val="0"/>
            <w:color w:val="auto"/>
            <w:lang w:val="fr-BE"/>
          </w:rPr>
          <w:t>7</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Copies des inventaires des marchés attribués en matière de collecte sélective et de tri) </w:t>
        </w:r>
        <w:r w:rsidR="00185B8A" w:rsidRPr="00FB0D93">
          <w:rPr>
            <w:rStyle w:val="Lienhypertexte"/>
            <w:noProof w:val="0"/>
            <w:color w:val="auto"/>
            <w:bdr w:val="single" w:sz="4" w:space="0" w:color="000000"/>
            <w:lang w:val="fr-BE"/>
          </w:rPr>
          <w:t>A</w:t>
        </w:r>
        <w:r w:rsidR="00185B8A" w:rsidRPr="00FB0D93">
          <w:rPr>
            <w:rStyle w:val="Lienhypertexte"/>
            <w:rFonts w:cs="Arial"/>
            <w:noProof w:val="0"/>
            <w:color w:val="auto"/>
            <w:bdr w:val="single" w:sz="4" w:space="0" w:color="000000"/>
            <w:lang w:val="fr-BE"/>
          </w:rPr>
          <w:t>, en cas de sous-traitance, C en cas de régie</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_Toc20298002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38</w:t>
        </w:r>
        <w:r w:rsidR="00185B8A" w:rsidRPr="00FB0D93">
          <w:rPr>
            <w:noProof w:val="0"/>
            <w:webHidden/>
            <w:lang w:val="fr-BE"/>
          </w:rPr>
          <w:fldChar w:fldCharType="end"/>
        </w:r>
      </w:hyperlink>
    </w:p>
    <w:p w14:paraId="05D64FE7" w14:textId="5D2706FF"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3" w:history="1">
        <w:r w:rsidR="00185B8A" w:rsidRPr="00FB0D93">
          <w:rPr>
            <w:rStyle w:val="Lienhypertexte"/>
            <w:noProof w:val="0"/>
            <w:color w:val="auto"/>
            <w:lang w:val="fr-BE"/>
          </w:rPr>
          <w:t>8</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Tarifs pour les marchés de recyclage (copie inventaires des marchés attribués) </w:t>
        </w:r>
        <w:r w:rsidR="00185B8A" w:rsidRPr="00FB0D93">
          <w:rPr>
            <w:rStyle w:val="Lienhypertexte"/>
            <w:noProof w:val="0"/>
            <w:color w:val="auto"/>
            <w:bdr w:val="single" w:sz="4" w:space="0" w:color="000000"/>
            <w:lang w:val="fr-BE"/>
          </w:rPr>
          <w:t>A</w:t>
        </w:r>
        <w:r w:rsidR="00185B8A" w:rsidRPr="00FB0D93">
          <w:rPr>
            <w:rStyle w:val="Lienhypertexte"/>
            <w:rFonts w:cs="Arial"/>
            <w:noProof w:val="0"/>
            <w:color w:val="auto"/>
            <w:bdr w:val="single" w:sz="4" w:space="0" w:color="000000"/>
            <w:lang w:val="fr-BE"/>
          </w:rPr>
          <w:t>, le cas échéant</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_Toc20298003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39</w:t>
        </w:r>
        <w:r w:rsidR="00185B8A" w:rsidRPr="00FB0D93">
          <w:rPr>
            <w:noProof w:val="0"/>
            <w:webHidden/>
            <w:lang w:val="fr-BE"/>
          </w:rPr>
          <w:fldChar w:fldCharType="end"/>
        </w:r>
      </w:hyperlink>
    </w:p>
    <w:p w14:paraId="09C416AE" w14:textId="002E8833"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4" w:history="1">
        <w:r w:rsidR="00185B8A" w:rsidRPr="00FB0D93">
          <w:rPr>
            <w:rStyle w:val="Lienhypertexte"/>
            <w:noProof w:val="0"/>
            <w:color w:val="auto"/>
            <w:lang w:val="fr-BE"/>
          </w:rPr>
          <w:t>9</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L’Arbre décisionnel </w:t>
        </w:r>
        <w:r w:rsidR="00185B8A" w:rsidRPr="00FB0D93">
          <w:rPr>
            <w:rStyle w:val="Lienhypertexte"/>
            <w:noProof w:val="0"/>
            <w:color w:val="auto"/>
            <w:bdr w:val="single" w:sz="4" w:space="0" w:color="000000"/>
            <w:lang w:val="fr-BE"/>
          </w:rPr>
          <w:t>B</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_Toc20298004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40</w:t>
        </w:r>
        <w:r w:rsidR="00185B8A" w:rsidRPr="00FB0D93">
          <w:rPr>
            <w:noProof w:val="0"/>
            <w:webHidden/>
            <w:lang w:val="fr-BE"/>
          </w:rPr>
          <w:fldChar w:fldCharType="end"/>
        </w:r>
      </w:hyperlink>
    </w:p>
    <w:p w14:paraId="42A6C8CF" w14:textId="6EB9694A"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5" w:history="1">
        <w:r w:rsidR="00185B8A" w:rsidRPr="00FB0D93">
          <w:rPr>
            <w:rStyle w:val="Lienhypertexte"/>
            <w:noProof w:val="0"/>
            <w:color w:val="auto"/>
            <w:lang w:val="fr-BE"/>
          </w:rPr>
          <w:t>10</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Aperçu des emplacements de bulles à verre lors du démarrage de la Convention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_Toc20298005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47</w:t>
        </w:r>
        <w:r w:rsidR="00185B8A" w:rsidRPr="00FB0D93">
          <w:rPr>
            <w:noProof w:val="0"/>
            <w:webHidden/>
            <w:lang w:val="fr-BE"/>
          </w:rPr>
          <w:fldChar w:fldCharType="end"/>
        </w:r>
      </w:hyperlink>
    </w:p>
    <w:p w14:paraId="13727E80" w14:textId="2FFEA9F5"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6" w:history="1">
        <w:r w:rsidR="00185B8A" w:rsidRPr="00FB0D93">
          <w:rPr>
            <w:rStyle w:val="Lienhypertexte"/>
            <w:noProof w:val="0"/>
            <w:color w:val="auto"/>
            <w:lang w:val="fr-BE"/>
          </w:rPr>
          <w:t>11</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Description de l’intervention de Fost plus dans les frais à diverses occasions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_Toc20298006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48</w:t>
        </w:r>
        <w:r w:rsidR="00185B8A" w:rsidRPr="00FB0D93">
          <w:rPr>
            <w:noProof w:val="0"/>
            <w:webHidden/>
            <w:lang w:val="fr-BE"/>
          </w:rPr>
          <w:fldChar w:fldCharType="end"/>
        </w:r>
      </w:hyperlink>
    </w:p>
    <w:p w14:paraId="2A6BAB0D" w14:textId="1E0FEA9F"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7" w:history="1">
        <w:r w:rsidR="00185B8A" w:rsidRPr="00FB0D93">
          <w:rPr>
            <w:rStyle w:val="Lienhypertexte"/>
            <w:noProof w:val="0"/>
            <w:color w:val="auto"/>
            <w:lang w:val="fr-BE"/>
          </w:rPr>
          <w:t>12</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Cahiers des charges spéciaux pour l’exécution ou l’attribution des activités suivantes </w:t>
        </w:r>
        <w:r w:rsidR="00185B8A" w:rsidRPr="00FB0D93">
          <w:rPr>
            <w:rStyle w:val="Lienhypertexte"/>
            <w:noProof w:val="0"/>
            <w:color w:val="auto"/>
            <w:bdr w:val="single" w:sz="4" w:space="0" w:color="000000"/>
            <w:lang w:val="fr-BE"/>
          </w:rPr>
          <w:t>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_Toc20298007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50</w:t>
        </w:r>
        <w:r w:rsidR="00185B8A" w:rsidRPr="00FB0D93">
          <w:rPr>
            <w:noProof w:val="0"/>
            <w:webHidden/>
            <w:lang w:val="fr-BE"/>
          </w:rPr>
          <w:fldChar w:fldCharType="end"/>
        </w:r>
      </w:hyperlink>
    </w:p>
    <w:p w14:paraId="7F8DCE30" w14:textId="548310DF"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8" w:history="1">
        <w:r w:rsidR="00185B8A" w:rsidRPr="00FB0D93">
          <w:rPr>
            <w:rStyle w:val="Lienhypertexte"/>
            <w:noProof w:val="0"/>
            <w:color w:val="auto"/>
            <w:lang w:val="fr-BE"/>
          </w:rPr>
          <w:t>13</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Transfert et contrôle des données A</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_Toc20298008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51</w:t>
        </w:r>
        <w:r w:rsidR="00185B8A" w:rsidRPr="00FB0D93">
          <w:rPr>
            <w:noProof w:val="0"/>
            <w:webHidden/>
            <w:lang w:val="fr-BE"/>
          </w:rPr>
          <w:fldChar w:fldCharType="end"/>
        </w:r>
      </w:hyperlink>
    </w:p>
    <w:p w14:paraId="7E2BF7AD" w14:textId="6AEAB167"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09" w:history="1">
        <w:r w:rsidR="00185B8A" w:rsidRPr="00FB0D93">
          <w:rPr>
            <w:rStyle w:val="Lienhypertexte"/>
            <w:noProof w:val="0"/>
            <w:color w:val="auto"/>
            <w:lang w:val="fr-BE"/>
          </w:rPr>
          <w:t>14</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Modèles de Cahiers des charges concernant les marchés d’acquisition et de recyclage </w:t>
        </w:r>
        <w:r w:rsidR="00185B8A" w:rsidRPr="00FB0D93">
          <w:rPr>
            <w:rStyle w:val="Lienhypertexte"/>
            <w:noProof w:val="0"/>
            <w:color w:val="auto"/>
            <w:bdr w:val="single" w:sz="4" w:space="0" w:color="000000"/>
            <w:lang w:val="fr-BE"/>
          </w:rPr>
          <w:t>B</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_Toc20298009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52</w:t>
        </w:r>
        <w:r w:rsidR="00185B8A" w:rsidRPr="00FB0D93">
          <w:rPr>
            <w:noProof w:val="0"/>
            <w:webHidden/>
            <w:lang w:val="fr-BE"/>
          </w:rPr>
          <w:fldChar w:fldCharType="end"/>
        </w:r>
      </w:hyperlink>
    </w:p>
    <w:p w14:paraId="77C9ABF1" w14:textId="7063EE45"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10" w:history="1">
        <w:r w:rsidR="00185B8A" w:rsidRPr="00FB0D93">
          <w:rPr>
            <w:rStyle w:val="Lienhypertexte"/>
            <w:noProof w:val="0"/>
            <w:color w:val="auto"/>
            <w:lang w:val="fr-BE"/>
          </w:rPr>
          <w:t>15</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noProof w:val="0"/>
            <w:color w:val="auto"/>
            <w:lang w:val="fr-BE"/>
          </w:rPr>
          <w:t xml:space="preserve">Attestation de recyclage </w:t>
        </w:r>
        <w:r w:rsidR="00185B8A" w:rsidRPr="00FB0D93">
          <w:rPr>
            <w:rStyle w:val="Lienhypertexte"/>
            <w:noProof w:val="0"/>
            <w:color w:val="auto"/>
            <w:bdr w:val="single" w:sz="4" w:space="0" w:color="000000"/>
            <w:lang w:val="fr-BE"/>
          </w:rPr>
          <w:t>B</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_Toc20298010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53</w:t>
        </w:r>
        <w:r w:rsidR="00185B8A" w:rsidRPr="00FB0D93">
          <w:rPr>
            <w:noProof w:val="0"/>
            <w:webHidden/>
            <w:lang w:val="fr-BE"/>
          </w:rPr>
          <w:fldChar w:fldCharType="end"/>
        </w:r>
      </w:hyperlink>
    </w:p>
    <w:p w14:paraId="0ED645BF" w14:textId="005445A5" w:rsidR="00185B8A" w:rsidRPr="00FB0D93" w:rsidRDefault="004E5EA2">
      <w:pPr>
        <w:pStyle w:val="TM1"/>
        <w:rPr>
          <w:rFonts w:asciiTheme="minorHAnsi" w:eastAsiaTheme="minorEastAsia" w:hAnsiTheme="minorHAnsi" w:cstheme="minorBidi"/>
          <w:bCs w:val="0"/>
          <w:noProof w:val="0"/>
          <w:sz w:val="22"/>
          <w:szCs w:val="22"/>
          <w:lang w:val="fr-BE" w:eastAsia="fr-BE"/>
        </w:rPr>
      </w:pPr>
      <w:hyperlink w:anchor="_Toc20298011" w:history="1">
        <w:r w:rsidR="00185B8A" w:rsidRPr="00FB0D93">
          <w:rPr>
            <w:rStyle w:val="Lienhypertexte"/>
            <w:noProof w:val="0"/>
            <w:color w:val="auto"/>
            <w:lang w:val="fr-BE"/>
          </w:rPr>
          <w:t>16</w:t>
        </w:r>
        <w:r w:rsidR="00185B8A" w:rsidRPr="00FB0D93">
          <w:rPr>
            <w:rFonts w:asciiTheme="minorHAnsi" w:eastAsiaTheme="minorEastAsia" w:hAnsiTheme="minorHAnsi" w:cstheme="minorBidi"/>
            <w:bCs w:val="0"/>
            <w:noProof w:val="0"/>
            <w:sz w:val="22"/>
            <w:szCs w:val="22"/>
            <w:lang w:val="fr-BE" w:eastAsia="fr-BE"/>
          </w:rPr>
          <w:tab/>
        </w:r>
        <w:r w:rsidR="00185B8A" w:rsidRPr="00FB0D93">
          <w:rPr>
            <w:rStyle w:val="Lienhypertexte"/>
            <w:rFonts w:cs="Arial"/>
            <w:noProof w:val="0"/>
            <w:color w:val="auto"/>
            <w:lang w:val="fr-BE"/>
          </w:rPr>
          <w:t>Déclaration de prise de connaissance des annexes en ligne</w:t>
        </w:r>
        <w:r w:rsidR="00185B8A" w:rsidRPr="00FB0D93">
          <w:rPr>
            <w:noProof w:val="0"/>
            <w:webHidden/>
            <w:lang w:val="fr-BE"/>
          </w:rPr>
          <w:tab/>
        </w:r>
        <w:r w:rsidR="00185B8A" w:rsidRPr="00FB0D93">
          <w:rPr>
            <w:noProof w:val="0"/>
            <w:webHidden/>
            <w:lang w:val="fr-BE"/>
          </w:rPr>
          <w:fldChar w:fldCharType="begin"/>
        </w:r>
        <w:r w:rsidR="00185B8A" w:rsidRPr="00FB0D93">
          <w:rPr>
            <w:noProof w:val="0"/>
            <w:webHidden/>
            <w:lang w:val="fr-BE"/>
          </w:rPr>
          <w:instrText xml:space="preserve"> PAGEREF _Toc20298011 \h </w:instrText>
        </w:r>
        <w:r w:rsidR="00185B8A" w:rsidRPr="00FB0D93">
          <w:rPr>
            <w:noProof w:val="0"/>
            <w:webHidden/>
            <w:lang w:val="fr-BE"/>
          </w:rPr>
        </w:r>
        <w:r w:rsidR="00185B8A" w:rsidRPr="00FB0D93">
          <w:rPr>
            <w:noProof w:val="0"/>
            <w:webHidden/>
            <w:lang w:val="fr-BE"/>
          </w:rPr>
          <w:fldChar w:fldCharType="separate"/>
        </w:r>
        <w:r w:rsidR="007E76B8">
          <w:rPr>
            <w:webHidden/>
            <w:lang w:val="fr-BE"/>
          </w:rPr>
          <w:t>54</w:t>
        </w:r>
        <w:r w:rsidR="00185B8A" w:rsidRPr="00FB0D93">
          <w:rPr>
            <w:noProof w:val="0"/>
            <w:webHidden/>
            <w:lang w:val="fr-BE"/>
          </w:rPr>
          <w:fldChar w:fldCharType="end"/>
        </w:r>
      </w:hyperlink>
    </w:p>
    <w:p w14:paraId="0769D236" w14:textId="6ABDAAB7" w:rsidR="00BC309D" w:rsidRPr="00FB0D93" w:rsidRDefault="003C68B2" w:rsidP="004D0839">
      <w:pPr>
        <w:pStyle w:val="Titre1"/>
        <w:ind w:left="426" w:hanging="426"/>
        <w:jc w:val="left"/>
        <w:rPr>
          <w:lang w:val="fr-BE"/>
        </w:rPr>
      </w:pPr>
      <w:r w:rsidRPr="00FB0D93">
        <w:rPr>
          <w:bCs/>
          <w:lang w:val="fr-BE"/>
        </w:rPr>
        <w:lastRenderedPageBreak/>
        <w:fldChar w:fldCharType="end"/>
      </w:r>
      <w:bookmarkStart w:id="1" w:name="_Toc20297995"/>
      <w:r w:rsidR="00BC309D" w:rsidRPr="00FB0D93">
        <w:rPr>
          <w:lang w:val="fr-BE"/>
        </w:rPr>
        <w:t>Déchets d’emballages ménagers et partie non-emballages de la fraction papier-carton visés par le sc</w:t>
      </w:r>
      <w:r w:rsidR="00AB1D24" w:rsidRPr="00FB0D93">
        <w:rPr>
          <w:lang w:val="fr-BE"/>
        </w:rPr>
        <w:t>énario de collecte de Fost Plus</w:t>
      </w:r>
      <w:r w:rsidR="000E3D01" w:rsidRPr="00FB0D93">
        <w:rPr>
          <w:lang w:val="fr-BE"/>
        </w:rPr>
        <w:t xml:space="preserve"> </w:t>
      </w:r>
      <w:r w:rsidR="00BC309D" w:rsidRPr="00FB0D93">
        <w:rPr>
          <w:sz w:val="34"/>
          <w:szCs w:val="34"/>
          <w:bdr w:val="single" w:sz="4" w:space="0" w:color="000000"/>
          <w:lang w:val="fr-BE"/>
        </w:rPr>
        <w:t>A</w:t>
      </w:r>
      <w:bookmarkEnd w:id="1"/>
    </w:p>
    <w:p w14:paraId="0769D237" w14:textId="77777777" w:rsidR="00BC309D" w:rsidRPr="00FB0D93" w:rsidRDefault="00BC309D" w:rsidP="006318F1">
      <w:pPr>
        <w:pStyle w:val="Titre2"/>
        <w:rPr>
          <w:lang w:val="fr-BE"/>
        </w:rPr>
      </w:pPr>
      <w:r w:rsidRPr="00FB0D93">
        <w:rPr>
          <w:lang w:val="fr-BE"/>
        </w:rPr>
        <w:t>Papier et carton</w:t>
      </w:r>
    </w:p>
    <w:p w14:paraId="0769D238" w14:textId="77777777" w:rsidR="00BC309D" w:rsidRPr="00FB0D93" w:rsidRDefault="00BC309D" w:rsidP="00BC309D">
      <w:pPr>
        <w:pStyle w:val="Listepuces"/>
        <w:rPr>
          <w:lang w:val="fr-BE"/>
        </w:rPr>
      </w:pPr>
      <w:r w:rsidRPr="00FB0D93">
        <w:rPr>
          <w:lang w:val="fr-BE"/>
        </w:rPr>
        <w:t>boîtes en carton</w:t>
      </w:r>
    </w:p>
    <w:p w14:paraId="0769D239" w14:textId="77777777" w:rsidR="00BC309D" w:rsidRPr="00FB0D93" w:rsidRDefault="00BC309D" w:rsidP="00BC309D">
      <w:pPr>
        <w:pStyle w:val="Listepuces"/>
        <w:rPr>
          <w:lang w:val="fr-BE"/>
        </w:rPr>
      </w:pPr>
      <w:r w:rsidRPr="00FB0D93">
        <w:rPr>
          <w:lang w:val="fr-BE"/>
        </w:rPr>
        <w:t>sacs en papier</w:t>
      </w:r>
    </w:p>
    <w:p w14:paraId="0769D23A" w14:textId="77777777" w:rsidR="00BC309D" w:rsidRPr="00FB0D93" w:rsidRDefault="00BC309D" w:rsidP="00BC309D">
      <w:pPr>
        <w:pStyle w:val="Listepuces"/>
        <w:rPr>
          <w:lang w:val="fr-BE"/>
        </w:rPr>
      </w:pPr>
      <w:r w:rsidRPr="00FB0D93">
        <w:rPr>
          <w:lang w:val="fr-BE"/>
        </w:rPr>
        <w:t>journaux et magazines</w:t>
      </w:r>
    </w:p>
    <w:p w14:paraId="0769D23B" w14:textId="77777777" w:rsidR="00BC309D" w:rsidRPr="00FB0D93" w:rsidRDefault="00BC309D" w:rsidP="00BC309D">
      <w:pPr>
        <w:pStyle w:val="Listepuces"/>
        <w:rPr>
          <w:lang w:val="fr-BE"/>
        </w:rPr>
      </w:pPr>
      <w:r w:rsidRPr="00FB0D93">
        <w:rPr>
          <w:lang w:val="fr-BE"/>
        </w:rPr>
        <w:t>dépliants publicitaires</w:t>
      </w:r>
    </w:p>
    <w:p w14:paraId="0769D23C" w14:textId="77777777" w:rsidR="00BC309D" w:rsidRPr="00FB0D93" w:rsidRDefault="00BC309D" w:rsidP="00BC309D">
      <w:pPr>
        <w:pStyle w:val="Listepuces"/>
        <w:rPr>
          <w:lang w:val="fr-BE"/>
        </w:rPr>
      </w:pPr>
      <w:r w:rsidRPr="00FB0D93">
        <w:rPr>
          <w:lang w:val="fr-BE"/>
        </w:rPr>
        <w:t>livres</w:t>
      </w:r>
    </w:p>
    <w:p w14:paraId="0769D23D" w14:textId="77777777" w:rsidR="00BC309D" w:rsidRPr="00FB0D93" w:rsidRDefault="00BC309D" w:rsidP="00BC309D">
      <w:pPr>
        <w:pStyle w:val="Listepuces"/>
        <w:rPr>
          <w:lang w:val="fr-BE"/>
        </w:rPr>
      </w:pPr>
      <w:r w:rsidRPr="00FB0D93">
        <w:rPr>
          <w:lang w:val="fr-BE"/>
        </w:rPr>
        <w:t>annuaires téléphoniques</w:t>
      </w:r>
    </w:p>
    <w:p w14:paraId="0769D23E" w14:textId="77777777" w:rsidR="00BC309D" w:rsidRPr="00FB0D93" w:rsidRDefault="00BC309D" w:rsidP="00BC309D">
      <w:pPr>
        <w:pStyle w:val="Listepuces"/>
        <w:rPr>
          <w:lang w:val="fr-BE"/>
        </w:rPr>
      </w:pPr>
      <w:r w:rsidRPr="00FB0D93">
        <w:rPr>
          <w:lang w:val="fr-BE"/>
        </w:rPr>
        <w:t>papier machine et à écrire...</w:t>
      </w:r>
    </w:p>
    <w:p w14:paraId="0769D23F" w14:textId="77777777" w:rsidR="00BC309D" w:rsidRPr="00FB0D93" w:rsidRDefault="00BC309D" w:rsidP="00BC309D">
      <w:pPr>
        <w:pStyle w:val="Listepuces"/>
        <w:rPr>
          <w:lang w:val="fr-BE"/>
        </w:rPr>
      </w:pPr>
      <w:r w:rsidRPr="00FB0D93">
        <w:rPr>
          <w:lang w:val="fr-BE"/>
        </w:rPr>
        <w:t>(…)</w:t>
      </w:r>
    </w:p>
    <w:p w14:paraId="0769D240" w14:textId="77777777" w:rsidR="00BC309D" w:rsidRPr="00FB0D93" w:rsidRDefault="00BC309D" w:rsidP="006318F1">
      <w:pPr>
        <w:pStyle w:val="Titre2"/>
        <w:rPr>
          <w:lang w:val="fr-BE"/>
        </w:rPr>
      </w:pPr>
      <w:r w:rsidRPr="00FB0D93">
        <w:rPr>
          <w:lang w:val="fr-BE"/>
        </w:rPr>
        <w:t>Bouteilles et bocaux en verre</w:t>
      </w:r>
    </w:p>
    <w:p w14:paraId="0769D241" w14:textId="77777777" w:rsidR="00BC309D" w:rsidRPr="00FB0D93" w:rsidRDefault="00BC309D" w:rsidP="00BC309D">
      <w:pPr>
        <w:pStyle w:val="Listepuces"/>
        <w:rPr>
          <w:lang w:val="fr-BE"/>
        </w:rPr>
      </w:pPr>
      <w:r w:rsidRPr="00FB0D93">
        <w:rPr>
          <w:lang w:val="fr-BE"/>
        </w:rPr>
        <w:t xml:space="preserve">boissons </w:t>
      </w:r>
    </w:p>
    <w:p w14:paraId="0769D242" w14:textId="77777777" w:rsidR="00BC309D" w:rsidRPr="00FB0D93" w:rsidRDefault="00BC309D" w:rsidP="00BC309D">
      <w:pPr>
        <w:pStyle w:val="Listepuces"/>
        <w:rPr>
          <w:lang w:val="fr-BE"/>
        </w:rPr>
      </w:pPr>
      <w:r w:rsidRPr="00FB0D93">
        <w:rPr>
          <w:lang w:val="fr-BE"/>
        </w:rPr>
        <w:t>fruits et légumes</w:t>
      </w:r>
    </w:p>
    <w:p w14:paraId="0769D243" w14:textId="77777777" w:rsidR="00BC309D" w:rsidRPr="00FB0D93" w:rsidRDefault="00BC309D" w:rsidP="00BC309D">
      <w:pPr>
        <w:pStyle w:val="Listepuces"/>
        <w:rPr>
          <w:lang w:val="fr-BE"/>
        </w:rPr>
      </w:pPr>
      <w:r w:rsidRPr="00FB0D93">
        <w:rPr>
          <w:lang w:val="fr-BE"/>
        </w:rPr>
        <w:t>confitures</w:t>
      </w:r>
    </w:p>
    <w:p w14:paraId="0769D244" w14:textId="77777777" w:rsidR="00BC309D" w:rsidRPr="00FB0D93" w:rsidRDefault="00BC309D" w:rsidP="00BC309D">
      <w:pPr>
        <w:pStyle w:val="Listepuces"/>
        <w:rPr>
          <w:lang w:val="fr-BE"/>
        </w:rPr>
      </w:pPr>
      <w:r w:rsidRPr="00FB0D93">
        <w:rPr>
          <w:lang w:val="fr-BE"/>
        </w:rPr>
        <w:t>sauces et mayonnaises...</w:t>
      </w:r>
    </w:p>
    <w:p w14:paraId="0769D245" w14:textId="77777777" w:rsidR="00BC309D" w:rsidRPr="00FB0D93" w:rsidRDefault="00BC309D" w:rsidP="00BC309D">
      <w:pPr>
        <w:pStyle w:val="Listepuces"/>
        <w:rPr>
          <w:lang w:val="fr-BE"/>
        </w:rPr>
      </w:pPr>
      <w:r w:rsidRPr="00FB0D93">
        <w:rPr>
          <w:lang w:val="fr-BE"/>
        </w:rPr>
        <w:t>(…)</w:t>
      </w:r>
    </w:p>
    <w:p w14:paraId="4846F476" w14:textId="0E7421A0" w:rsidR="008D3564" w:rsidRPr="00FB0D93" w:rsidRDefault="008D3564" w:rsidP="008D3564">
      <w:pPr>
        <w:pStyle w:val="Paragraphedeliste"/>
        <w:ind w:left="284"/>
        <w:rPr>
          <w:lang w:val="fr-BE"/>
        </w:rPr>
      </w:pPr>
    </w:p>
    <w:p w14:paraId="183AB624" w14:textId="75711FD5" w:rsidR="008D3564" w:rsidRPr="00FB0D93" w:rsidRDefault="008D3564" w:rsidP="008D3564">
      <w:pPr>
        <w:pStyle w:val="Paragraphedeliste"/>
        <w:ind w:left="284"/>
        <w:rPr>
          <w:lang w:val="fr-BE"/>
        </w:rPr>
      </w:pPr>
    </w:p>
    <w:p w14:paraId="7356E869" w14:textId="22AB6BBB" w:rsidR="008D3564" w:rsidRPr="00FB0D93" w:rsidRDefault="000E706D" w:rsidP="008D3564">
      <w:pPr>
        <w:pStyle w:val="Titre2"/>
        <w:widowControl/>
        <w:tabs>
          <w:tab w:val="clear" w:pos="851"/>
          <w:tab w:val="num" w:pos="1844"/>
        </w:tabs>
        <w:adjustRightInd/>
        <w:ind w:left="1844"/>
        <w:jc w:val="left"/>
        <w:textAlignment w:val="auto"/>
        <w:rPr>
          <w:lang w:val="fr-BE"/>
        </w:rPr>
      </w:pPr>
      <w:r w:rsidRPr="00FB0D93">
        <w:rPr>
          <w:lang w:val="fr-BE"/>
        </w:rPr>
        <w:t>PMC</w:t>
      </w:r>
      <w:r w:rsidR="008D3564" w:rsidRPr="00FB0D93">
        <w:rPr>
          <w:lang w:val="fr-BE"/>
        </w:rPr>
        <w:t xml:space="preserve"> (</w:t>
      </w:r>
      <w:r w:rsidRPr="00FB0D93">
        <w:rPr>
          <w:lang w:val="fr-BE"/>
        </w:rPr>
        <w:t>voir nouveau sac bleu)</w:t>
      </w:r>
    </w:p>
    <w:p w14:paraId="681EED57" w14:textId="5AEF1A2E" w:rsidR="008D3564" w:rsidRPr="00FB0D93" w:rsidRDefault="00905FA2" w:rsidP="008D3564">
      <w:pPr>
        <w:pStyle w:val="Titre3"/>
        <w:numPr>
          <w:ilvl w:val="0"/>
          <w:numId w:val="0"/>
        </w:numPr>
        <w:spacing w:before="0"/>
        <w:rPr>
          <w:lang w:val="fr-BE"/>
        </w:rPr>
      </w:pPr>
      <w:r w:rsidRPr="00FB0D93">
        <w:rPr>
          <w:lang w:val="fr-BE"/>
        </w:rPr>
        <w:t>P :</w:t>
      </w:r>
      <w:r w:rsidR="008D3564" w:rsidRPr="00FB0D93">
        <w:rPr>
          <w:lang w:val="fr-BE"/>
        </w:rPr>
        <w:t xml:space="preserve"> </w:t>
      </w:r>
      <w:r w:rsidR="000E706D" w:rsidRPr="00FB0D93">
        <w:rPr>
          <w:lang w:val="fr-BE"/>
        </w:rPr>
        <w:t>emballages en plastique, dont</w:t>
      </w:r>
      <w:r w:rsidR="008D3564" w:rsidRPr="00FB0D93">
        <w:rPr>
          <w:lang w:val="fr-BE"/>
        </w:rPr>
        <w:t xml:space="preserve"> </w:t>
      </w:r>
    </w:p>
    <w:p w14:paraId="058423B6" w14:textId="0504833C" w:rsidR="008D3564" w:rsidRPr="00FB0D93" w:rsidRDefault="000E706D" w:rsidP="008D3564">
      <w:pPr>
        <w:pStyle w:val="Listepuces"/>
        <w:widowControl/>
        <w:adjustRightInd/>
        <w:jc w:val="left"/>
        <w:textAlignment w:val="auto"/>
        <w:rPr>
          <w:lang w:val="fr-BE"/>
        </w:rPr>
      </w:pPr>
      <w:r w:rsidRPr="00FB0D93">
        <w:rPr>
          <w:lang w:val="fr-BE"/>
        </w:rPr>
        <w:t>Bouteilles et flacons en plastique pour notamment eaux</w:t>
      </w:r>
      <w:r w:rsidR="001E0B4B" w:rsidRPr="00FB0D93">
        <w:rPr>
          <w:lang w:val="fr-BE"/>
        </w:rPr>
        <w:t>,</w:t>
      </w:r>
      <w:r w:rsidR="00D3582D" w:rsidRPr="00FB0D93">
        <w:rPr>
          <w:lang w:val="fr-BE"/>
        </w:rPr>
        <w:t xml:space="preserve"> </w:t>
      </w:r>
      <w:r w:rsidRPr="00FB0D93">
        <w:rPr>
          <w:lang w:val="fr-BE"/>
        </w:rPr>
        <w:t xml:space="preserve">boissons rafraîchissantes, boissons </w:t>
      </w:r>
      <w:r w:rsidR="00EB7FAC" w:rsidRPr="00FB0D93">
        <w:rPr>
          <w:lang w:val="fr-BE"/>
        </w:rPr>
        <w:t>(</w:t>
      </w:r>
      <w:r w:rsidRPr="00FB0D93">
        <w:rPr>
          <w:lang w:val="fr-BE"/>
        </w:rPr>
        <w:t>lactées</w:t>
      </w:r>
      <w:r w:rsidR="00EB7FAC" w:rsidRPr="00FB0D93">
        <w:rPr>
          <w:lang w:val="fr-BE"/>
        </w:rPr>
        <w:t>)</w:t>
      </w:r>
      <w:r w:rsidRPr="00FB0D93">
        <w:rPr>
          <w:lang w:val="fr-BE"/>
        </w:rPr>
        <w:t>, détergents, produits d’entretien, produits de soins pour le corps, agents de blanchiment et eau distillée</w:t>
      </w:r>
    </w:p>
    <w:p w14:paraId="5D403994" w14:textId="192B467A" w:rsidR="000E706D" w:rsidRPr="00FB0D93" w:rsidRDefault="000E706D" w:rsidP="008D3564">
      <w:pPr>
        <w:pStyle w:val="Listepuces"/>
        <w:widowControl/>
        <w:adjustRightInd/>
        <w:jc w:val="left"/>
        <w:textAlignment w:val="auto"/>
        <w:rPr>
          <w:lang w:val="fr-BE"/>
        </w:rPr>
      </w:pPr>
      <w:r w:rsidRPr="00FB0D93">
        <w:rPr>
          <w:lang w:val="fr-BE"/>
        </w:rPr>
        <w:t xml:space="preserve">Les emballages en plastique dur, comme les pots, raviers, barquettes, emballages dépliables (ou clamshell), tubes, blisters, </w:t>
      </w:r>
      <w:r w:rsidR="00EB7FAC" w:rsidRPr="00FB0D93">
        <w:rPr>
          <w:lang w:val="fr-BE"/>
        </w:rPr>
        <w:t xml:space="preserve">gobelets, </w:t>
      </w:r>
      <w:r w:rsidRPr="00FB0D93">
        <w:rPr>
          <w:lang w:val="fr-BE"/>
        </w:rPr>
        <w:t>boîtes d’</w:t>
      </w:r>
      <w:r w:rsidR="00843AF4" w:rsidRPr="00FB0D93">
        <w:rPr>
          <w:lang w:val="fr-BE"/>
        </w:rPr>
        <w:t>œuf</w:t>
      </w:r>
      <w:r w:rsidRPr="00FB0D93">
        <w:rPr>
          <w:lang w:val="fr-BE"/>
        </w:rPr>
        <w:t xml:space="preserve"> et couvercles</w:t>
      </w:r>
    </w:p>
    <w:p w14:paraId="6704AB16" w14:textId="2C3B7A35" w:rsidR="008D3564" w:rsidRPr="00FB0D93" w:rsidRDefault="000E706D" w:rsidP="008D3564">
      <w:pPr>
        <w:pStyle w:val="Listepuces"/>
        <w:widowControl/>
        <w:adjustRightInd/>
        <w:jc w:val="left"/>
        <w:textAlignment w:val="auto"/>
        <w:rPr>
          <w:lang w:val="fr-BE"/>
        </w:rPr>
      </w:pPr>
      <w:r w:rsidRPr="00FB0D93">
        <w:rPr>
          <w:lang w:val="fr-BE"/>
        </w:rPr>
        <w:t>Les emballages en plastique flexible comme les films plastiques (comme le film multipack), les sacs en plastique, les sacs de magasin</w:t>
      </w:r>
    </w:p>
    <w:p w14:paraId="39246414" w14:textId="77777777" w:rsidR="008D3564" w:rsidRPr="00FB0D93" w:rsidRDefault="008D3564" w:rsidP="008D3564">
      <w:pPr>
        <w:pStyle w:val="Listepuces"/>
        <w:widowControl/>
        <w:adjustRightInd/>
        <w:jc w:val="left"/>
        <w:textAlignment w:val="auto"/>
        <w:rPr>
          <w:lang w:val="fr-BE"/>
        </w:rPr>
      </w:pPr>
      <w:r w:rsidRPr="00FB0D93">
        <w:rPr>
          <w:lang w:val="fr-BE"/>
        </w:rPr>
        <w:t>(…)</w:t>
      </w:r>
    </w:p>
    <w:p w14:paraId="44201B1F" w14:textId="7F49408A" w:rsidR="008D3564" w:rsidRPr="00FB0D93" w:rsidRDefault="00905FA2" w:rsidP="008D3564">
      <w:pPr>
        <w:pStyle w:val="Titre3"/>
        <w:numPr>
          <w:ilvl w:val="0"/>
          <w:numId w:val="0"/>
        </w:numPr>
        <w:rPr>
          <w:lang w:val="fr-BE"/>
        </w:rPr>
      </w:pPr>
      <w:r w:rsidRPr="00FB0D93">
        <w:rPr>
          <w:lang w:val="fr-BE"/>
        </w:rPr>
        <w:t>M :</w:t>
      </w:r>
      <w:r w:rsidR="008D3564" w:rsidRPr="00FB0D93">
        <w:rPr>
          <w:lang w:val="fr-BE"/>
        </w:rPr>
        <w:t xml:space="preserve"> </w:t>
      </w:r>
      <w:r w:rsidR="000E706D" w:rsidRPr="00FB0D93">
        <w:rPr>
          <w:lang w:val="fr-BE"/>
        </w:rPr>
        <w:t>emballages métalliques</w:t>
      </w:r>
    </w:p>
    <w:p w14:paraId="1EBD5585" w14:textId="1E8311E9" w:rsidR="008D3564" w:rsidRPr="00FB0D93" w:rsidRDefault="000E706D" w:rsidP="008D3564">
      <w:pPr>
        <w:pStyle w:val="Listepuces"/>
        <w:widowControl/>
        <w:adjustRightInd/>
        <w:jc w:val="left"/>
        <w:textAlignment w:val="auto"/>
        <w:rPr>
          <w:lang w:val="fr-BE"/>
        </w:rPr>
      </w:pPr>
      <w:r w:rsidRPr="00FB0D93">
        <w:rPr>
          <w:lang w:val="fr-BE"/>
        </w:rPr>
        <w:t>canettes</w:t>
      </w:r>
    </w:p>
    <w:p w14:paraId="6086A050" w14:textId="26EE6CC8" w:rsidR="008D3564" w:rsidRPr="00FB0D93" w:rsidRDefault="000E706D" w:rsidP="008D3564">
      <w:pPr>
        <w:pStyle w:val="Listepuces"/>
        <w:widowControl/>
        <w:adjustRightInd/>
        <w:jc w:val="left"/>
        <w:textAlignment w:val="auto"/>
        <w:rPr>
          <w:lang w:val="fr-BE"/>
        </w:rPr>
      </w:pPr>
      <w:r w:rsidRPr="00FB0D93">
        <w:rPr>
          <w:lang w:val="fr-BE"/>
        </w:rPr>
        <w:t>boîtes de conserve</w:t>
      </w:r>
      <w:r w:rsidR="008D3564" w:rsidRPr="00FB0D93">
        <w:rPr>
          <w:lang w:val="fr-BE"/>
        </w:rPr>
        <w:t xml:space="preserve"> </w:t>
      </w:r>
    </w:p>
    <w:p w14:paraId="27C10477" w14:textId="333CC9CB" w:rsidR="008D3564" w:rsidRPr="00FB0D93" w:rsidRDefault="000E706D" w:rsidP="008D3564">
      <w:pPr>
        <w:pStyle w:val="Listepuces"/>
        <w:widowControl/>
        <w:adjustRightInd/>
        <w:jc w:val="left"/>
        <w:textAlignment w:val="auto"/>
        <w:rPr>
          <w:lang w:val="fr-BE"/>
        </w:rPr>
      </w:pPr>
      <w:r w:rsidRPr="00FB0D93">
        <w:rPr>
          <w:lang w:val="fr-BE"/>
        </w:rPr>
        <w:t xml:space="preserve">plats, raviers et barquettes en </w:t>
      </w:r>
      <w:r w:rsidR="008D3564" w:rsidRPr="00FB0D93">
        <w:rPr>
          <w:lang w:val="fr-BE"/>
        </w:rPr>
        <w:t>alumini</w:t>
      </w:r>
      <w:r w:rsidRPr="00FB0D93">
        <w:rPr>
          <w:lang w:val="fr-BE"/>
        </w:rPr>
        <w:t>um</w:t>
      </w:r>
    </w:p>
    <w:p w14:paraId="595CEB40" w14:textId="77777777" w:rsidR="000E706D" w:rsidRPr="00FB0D93" w:rsidRDefault="000E706D" w:rsidP="008D3564">
      <w:pPr>
        <w:pStyle w:val="Listepuces"/>
        <w:widowControl/>
        <w:adjustRightInd/>
        <w:jc w:val="left"/>
        <w:textAlignment w:val="auto"/>
        <w:rPr>
          <w:lang w:val="fr-BE"/>
        </w:rPr>
      </w:pPr>
      <w:r w:rsidRPr="00FB0D93">
        <w:rPr>
          <w:lang w:val="fr-BE"/>
        </w:rPr>
        <w:t>bouchons filetés, couvercles de bouteilles et bocaux et capsules</w:t>
      </w:r>
    </w:p>
    <w:p w14:paraId="33C0D175" w14:textId="475AE55C" w:rsidR="008D3564" w:rsidRPr="00FB0D93" w:rsidRDefault="000E706D" w:rsidP="008D3564">
      <w:pPr>
        <w:pStyle w:val="Listepuces"/>
        <w:widowControl/>
        <w:adjustRightInd/>
        <w:jc w:val="left"/>
        <w:textAlignment w:val="auto"/>
        <w:rPr>
          <w:lang w:val="fr-BE"/>
        </w:rPr>
      </w:pPr>
      <w:r w:rsidRPr="00FB0D93">
        <w:rPr>
          <w:lang w:val="fr-BE"/>
        </w:rPr>
        <w:t>boîtes et bidons</w:t>
      </w:r>
    </w:p>
    <w:p w14:paraId="07303AD1" w14:textId="71AE079D" w:rsidR="008D3564" w:rsidRPr="00FB0D93" w:rsidRDefault="000E706D" w:rsidP="008D3564">
      <w:pPr>
        <w:pStyle w:val="Listepuces"/>
        <w:widowControl/>
        <w:adjustRightInd/>
        <w:jc w:val="left"/>
        <w:textAlignment w:val="auto"/>
        <w:rPr>
          <w:lang w:val="fr-BE"/>
        </w:rPr>
      </w:pPr>
      <w:r w:rsidRPr="00FB0D93">
        <w:rPr>
          <w:lang w:val="fr-BE"/>
        </w:rPr>
        <w:t>aérosols de produits cosmétiques ou alimentaires vides</w:t>
      </w:r>
    </w:p>
    <w:p w14:paraId="604D1813" w14:textId="77777777" w:rsidR="008D3564" w:rsidRPr="00FB0D93" w:rsidRDefault="008D3564" w:rsidP="008D3564">
      <w:pPr>
        <w:pStyle w:val="Listepuces"/>
        <w:widowControl/>
        <w:adjustRightInd/>
        <w:jc w:val="left"/>
        <w:textAlignment w:val="auto"/>
        <w:rPr>
          <w:lang w:val="fr-BE"/>
        </w:rPr>
      </w:pPr>
      <w:r w:rsidRPr="00FB0D93">
        <w:rPr>
          <w:lang w:val="fr-BE"/>
        </w:rPr>
        <w:t>(…)</w:t>
      </w:r>
    </w:p>
    <w:p w14:paraId="08A17AEE" w14:textId="557065A5" w:rsidR="008D3564" w:rsidRPr="00FB0D93" w:rsidRDefault="00905FA2" w:rsidP="008D3564">
      <w:pPr>
        <w:pStyle w:val="Titre3"/>
        <w:numPr>
          <w:ilvl w:val="0"/>
          <w:numId w:val="0"/>
        </w:numPr>
        <w:rPr>
          <w:lang w:val="fr-BE"/>
        </w:rPr>
      </w:pPr>
      <w:r w:rsidRPr="00FB0D93">
        <w:rPr>
          <w:lang w:val="fr-BE"/>
        </w:rPr>
        <w:t>C :</w:t>
      </w:r>
      <w:r w:rsidR="008D3564" w:rsidRPr="00FB0D93">
        <w:rPr>
          <w:lang w:val="fr-BE"/>
        </w:rPr>
        <w:t xml:space="preserve"> </w:t>
      </w:r>
      <w:r w:rsidR="000E706D" w:rsidRPr="00FB0D93">
        <w:rPr>
          <w:lang w:val="fr-BE"/>
        </w:rPr>
        <w:t>cartons à boisson</w:t>
      </w:r>
    </w:p>
    <w:p w14:paraId="35F5B0C3" w14:textId="1057E9B7" w:rsidR="008D3564" w:rsidRPr="00FB0D93" w:rsidRDefault="00417723" w:rsidP="008D3564">
      <w:pPr>
        <w:pStyle w:val="Listepuces"/>
        <w:widowControl/>
        <w:adjustRightInd/>
        <w:jc w:val="left"/>
        <w:textAlignment w:val="auto"/>
        <w:rPr>
          <w:lang w:val="fr-BE"/>
        </w:rPr>
      </w:pPr>
      <w:r w:rsidRPr="00FB0D93">
        <w:rPr>
          <w:lang w:val="fr-BE"/>
        </w:rPr>
        <w:t>Emballage laminé de type brique qui a contenu des produits liquides</w:t>
      </w:r>
    </w:p>
    <w:p w14:paraId="17ADC40F" w14:textId="77777777" w:rsidR="00C454BB" w:rsidRPr="00FB0D93" w:rsidRDefault="00C454BB" w:rsidP="008D3564">
      <w:pPr>
        <w:pStyle w:val="Listepuces"/>
        <w:widowControl/>
        <w:adjustRightInd/>
        <w:jc w:val="left"/>
        <w:textAlignment w:val="auto"/>
        <w:rPr>
          <w:lang w:val="fr-BE"/>
        </w:rPr>
      </w:pPr>
    </w:p>
    <w:p w14:paraId="4D437895" w14:textId="7246EA8E" w:rsidR="008D3564" w:rsidRPr="00FB0D93" w:rsidRDefault="008D3564" w:rsidP="00C454BB">
      <w:pPr>
        <w:rPr>
          <w:lang w:val="fr-BE"/>
        </w:rPr>
      </w:pPr>
    </w:p>
    <w:p w14:paraId="59951C66" w14:textId="3E3D01A9" w:rsidR="00595A8E" w:rsidRPr="00FB0D93" w:rsidRDefault="00595A8E">
      <w:pPr>
        <w:widowControl/>
        <w:adjustRightInd/>
        <w:spacing w:after="0" w:line="240" w:lineRule="auto"/>
        <w:jc w:val="left"/>
        <w:textAlignment w:val="auto"/>
        <w:rPr>
          <w:lang w:val="fr-BE"/>
        </w:rPr>
      </w:pPr>
      <w:r w:rsidRPr="00FB0D93">
        <w:rPr>
          <w:lang w:val="fr-BE"/>
        </w:rPr>
        <w:br w:type="page"/>
      </w:r>
    </w:p>
    <w:p w14:paraId="09979E86" w14:textId="06872F91" w:rsidR="005B6F53" w:rsidRPr="00FB0D93" w:rsidRDefault="005B6F53" w:rsidP="005B6F53">
      <w:pPr>
        <w:pStyle w:val="Titre1"/>
        <w:pageBreakBefore w:val="0"/>
        <w:ind w:left="426" w:hanging="426"/>
        <w:jc w:val="left"/>
        <w:rPr>
          <w:lang w:val="fr-BE"/>
        </w:rPr>
      </w:pPr>
      <w:bookmarkStart w:id="2" w:name="_Toc20297996"/>
      <w:r w:rsidRPr="00FB0D93">
        <w:rPr>
          <w:bCs/>
          <w:lang w:val="fr-BE"/>
        </w:rPr>
        <w:lastRenderedPageBreak/>
        <w:t>Liste des Communes</w:t>
      </w:r>
      <w:r w:rsidRPr="00FB0D93">
        <w:rPr>
          <w:lang w:val="fr-BE"/>
        </w:rPr>
        <w:t xml:space="preserve"> </w:t>
      </w:r>
      <w:r w:rsidRPr="00FB0D93">
        <w:rPr>
          <w:sz w:val="34"/>
          <w:szCs w:val="34"/>
          <w:bdr w:val="single" w:sz="4" w:space="0" w:color="000000"/>
          <w:lang w:val="fr-BE"/>
        </w:rPr>
        <w:t>A</w:t>
      </w:r>
      <w:bookmarkEnd w:id="2"/>
      <w:r w:rsidRPr="00FB0D93" w:rsidDel="005B6F53">
        <w:rPr>
          <w:lang w:val="fr-BE"/>
        </w:rPr>
        <w:t xml:space="preserve"> </w:t>
      </w:r>
      <w:r w:rsidRPr="00FB0D93">
        <w:rPr>
          <w:lang w:val="fr-BE"/>
        </w:rPr>
        <w:tab/>
      </w:r>
      <w:r w:rsidRPr="00FB0D93">
        <w:rPr>
          <w:lang w:val="fr-BE"/>
        </w:rPr>
        <w:tab/>
      </w:r>
      <w:r w:rsidRPr="00FB0D93">
        <w:rPr>
          <w:lang w:val="fr-BE"/>
        </w:rPr>
        <w:tab/>
      </w:r>
      <w:r w:rsidRPr="00FB0D93">
        <w:rPr>
          <w:lang w:val="fr-BE"/>
        </w:rPr>
        <w:tab/>
      </w:r>
      <w:r w:rsidRPr="00FB0D93">
        <w:rPr>
          <w:lang w:val="fr-BE"/>
        </w:rPr>
        <w:tab/>
      </w:r>
      <w:r w:rsidRPr="00FB0D93">
        <w:rPr>
          <w:lang w:val="fr-BE"/>
        </w:rPr>
        <w:tab/>
      </w:r>
    </w:p>
    <w:p w14:paraId="7AA4DEFA" w14:textId="77777777" w:rsidR="005B6F53" w:rsidRPr="00FB0D93" w:rsidRDefault="005B6F53" w:rsidP="005B6F53">
      <w:pPr>
        <w:pStyle w:val="Titre1"/>
        <w:pageBreakBefore w:val="0"/>
        <w:numPr>
          <w:ilvl w:val="0"/>
          <w:numId w:val="0"/>
        </w:numPr>
        <w:jc w:val="left"/>
        <w:rPr>
          <w:lang w:val="fr-BE"/>
        </w:rPr>
      </w:pPr>
    </w:p>
    <w:p w14:paraId="0769D266" w14:textId="1FA5E4A3" w:rsidR="00BC309D" w:rsidRPr="00FB0D93" w:rsidRDefault="00905FA2" w:rsidP="005B6F53">
      <w:pPr>
        <w:pStyle w:val="Titre1"/>
        <w:pageBreakBefore w:val="0"/>
        <w:numPr>
          <w:ilvl w:val="0"/>
          <w:numId w:val="0"/>
        </w:numPr>
        <w:jc w:val="left"/>
        <w:rPr>
          <w:lang w:val="fr-BE"/>
        </w:rPr>
      </w:pPr>
      <w:bookmarkStart w:id="3" w:name="_Toc20297997"/>
      <w:r w:rsidRPr="00FB0D93">
        <w:rPr>
          <w:lang w:val="fr-BE"/>
        </w:rPr>
        <w:t>INTERCOMMUNALE :</w:t>
      </w:r>
      <w:r w:rsidR="00BC309D" w:rsidRPr="00FB0D93">
        <w:rPr>
          <w:lang w:val="fr-BE"/>
        </w:rPr>
        <w:t xml:space="preserve"> &lt;compléter nom&gt;</w:t>
      </w:r>
      <w:bookmarkEnd w:id="3"/>
    </w:p>
    <w:p w14:paraId="0769D267" w14:textId="77777777" w:rsidR="00BC309D" w:rsidRPr="00FB0D93" w:rsidRDefault="00BC309D" w:rsidP="00BC309D">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4519"/>
        <w:gridCol w:w="2286"/>
      </w:tblGrid>
      <w:tr w:rsidR="00FB0D93" w:rsidRPr="0086132C" w14:paraId="0769D26B" w14:textId="77777777" w:rsidTr="006318F1">
        <w:tc>
          <w:tcPr>
            <w:tcW w:w="2302" w:type="dxa"/>
            <w:tcBorders>
              <w:left w:val="nil"/>
              <w:right w:val="nil"/>
            </w:tcBorders>
          </w:tcPr>
          <w:p w14:paraId="0769D268" w14:textId="77777777" w:rsidR="00BC309D" w:rsidRPr="00FB0D93" w:rsidRDefault="00BC309D" w:rsidP="006318F1">
            <w:pPr>
              <w:rPr>
                <w:lang w:val="fr-BE"/>
              </w:rPr>
            </w:pPr>
            <w:r w:rsidRPr="00FB0D93">
              <w:rPr>
                <w:lang w:val="fr-BE"/>
              </w:rPr>
              <w:t>Nr</w:t>
            </w:r>
          </w:p>
        </w:tc>
        <w:tc>
          <w:tcPr>
            <w:tcW w:w="4605" w:type="dxa"/>
            <w:tcBorders>
              <w:left w:val="nil"/>
              <w:right w:val="nil"/>
            </w:tcBorders>
          </w:tcPr>
          <w:p w14:paraId="0769D269" w14:textId="77777777" w:rsidR="00BC309D" w:rsidRPr="00FB0D93" w:rsidRDefault="00805ABA" w:rsidP="00805ABA">
            <w:pPr>
              <w:rPr>
                <w:lang w:val="fr-BE"/>
              </w:rPr>
            </w:pPr>
            <w:r w:rsidRPr="00FB0D93">
              <w:rPr>
                <w:lang w:val="fr-BE"/>
              </w:rPr>
              <w:t>Nom de la c</w:t>
            </w:r>
            <w:r w:rsidR="00BC309D" w:rsidRPr="00FB0D93">
              <w:rPr>
                <w:lang w:val="fr-BE"/>
              </w:rPr>
              <w:t>ommune</w:t>
            </w:r>
          </w:p>
        </w:tc>
        <w:tc>
          <w:tcPr>
            <w:tcW w:w="2303" w:type="dxa"/>
            <w:tcBorders>
              <w:left w:val="nil"/>
              <w:right w:val="nil"/>
            </w:tcBorders>
          </w:tcPr>
          <w:p w14:paraId="0769D26A" w14:textId="77777777" w:rsidR="00BC309D" w:rsidRPr="00FB0D93" w:rsidRDefault="00BC309D" w:rsidP="006318F1">
            <w:pPr>
              <w:rPr>
                <w:lang w:val="fr-BE"/>
              </w:rPr>
            </w:pPr>
            <w:r w:rsidRPr="00FB0D93">
              <w:rPr>
                <w:lang w:val="fr-BE"/>
              </w:rPr>
              <w:t>Nombre d’habitants en date du 01.01.&lt;aaaa&gt; (MB du &lt;jj.mm.aaaa&gt;)</w:t>
            </w:r>
          </w:p>
        </w:tc>
      </w:tr>
      <w:tr w:rsidR="00FB0D93" w:rsidRPr="00FB0D93" w14:paraId="0769D26F" w14:textId="77777777" w:rsidTr="006318F1">
        <w:tc>
          <w:tcPr>
            <w:tcW w:w="2302" w:type="dxa"/>
            <w:tcBorders>
              <w:left w:val="nil"/>
              <w:bottom w:val="nil"/>
              <w:right w:val="nil"/>
            </w:tcBorders>
          </w:tcPr>
          <w:p w14:paraId="0769D26C" w14:textId="77777777" w:rsidR="00BC309D" w:rsidRPr="00FB0D93" w:rsidRDefault="00BC309D" w:rsidP="006318F1">
            <w:pPr>
              <w:rPr>
                <w:lang w:val="fr-BE"/>
              </w:rPr>
            </w:pPr>
            <w:r w:rsidRPr="00FB0D93">
              <w:rPr>
                <w:lang w:val="fr-BE"/>
              </w:rPr>
              <w:t>1</w:t>
            </w:r>
          </w:p>
        </w:tc>
        <w:tc>
          <w:tcPr>
            <w:tcW w:w="4605" w:type="dxa"/>
            <w:tcBorders>
              <w:left w:val="nil"/>
              <w:bottom w:val="nil"/>
              <w:right w:val="nil"/>
            </w:tcBorders>
          </w:tcPr>
          <w:p w14:paraId="0769D26D" w14:textId="77777777" w:rsidR="00BC309D" w:rsidRPr="00FB0D93" w:rsidRDefault="00BC309D" w:rsidP="006318F1">
            <w:pPr>
              <w:rPr>
                <w:lang w:val="fr-BE"/>
              </w:rPr>
            </w:pPr>
          </w:p>
        </w:tc>
        <w:tc>
          <w:tcPr>
            <w:tcW w:w="2303" w:type="dxa"/>
            <w:tcBorders>
              <w:left w:val="nil"/>
              <w:bottom w:val="nil"/>
              <w:right w:val="nil"/>
            </w:tcBorders>
          </w:tcPr>
          <w:p w14:paraId="0769D26E" w14:textId="77777777" w:rsidR="00BC309D" w:rsidRPr="00FB0D93" w:rsidRDefault="00BC309D" w:rsidP="006318F1">
            <w:pPr>
              <w:rPr>
                <w:lang w:val="fr-BE"/>
              </w:rPr>
            </w:pPr>
          </w:p>
        </w:tc>
      </w:tr>
      <w:tr w:rsidR="00FB0D93" w:rsidRPr="00FB0D93" w14:paraId="0769D273" w14:textId="77777777" w:rsidTr="006318F1">
        <w:tc>
          <w:tcPr>
            <w:tcW w:w="2302" w:type="dxa"/>
            <w:tcBorders>
              <w:top w:val="nil"/>
              <w:left w:val="nil"/>
              <w:bottom w:val="nil"/>
              <w:right w:val="nil"/>
            </w:tcBorders>
          </w:tcPr>
          <w:p w14:paraId="0769D270" w14:textId="77777777" w:rsidR="00BC309D" w:rsidRPr="00FB0D93" w:rsidRDefault="00BC309D" w:rsidP="006318F1">
            <w:pPr>
              <w:rPr>
                <w:lang w:val="fr-BE"/>
              </w:rPr>
            </w:pPr>
            <w:r w:rsidRPr="00FB0D93">
              <w:rPr>
                <w:lang w:val="fr-BE"/>
              </w:rPr>
              <w:t>2</w:t>
            </w:r>
          </w:p>
        </w:tc>
        <w:tc>
          <w:tcPr>
            <w:tcW w:w="4605" w:type="dxa"/>
            <w:tcBorders>
              <w:top w:val="nil"/>
              <w:left w:val="nil"/>
              <w:bottom w:val="nil"/>
              <w:right w:val="nil"/>
            </w:tcBorders>
          </w:tcPr>
          <w:p w14:paraId="0769D271" w14:textId="77777777" w:rsidR="00BC309D" w:rsidRPr="00FB0D93" w:rsidRDefault="00BC309D" w:rsidP="006318F1">
            <w:pPr>
              <w:rPr>
                <w:lang w:val="fr-BE"/>
              </w:rPr>
            </w:pPr>
          </w:p>
        </w:tc>
        <w:tc>
          <w:tcPr>
            <w:tcW w:w="2303" w:type="dxa"/>
            <w:tcBorders>
              <w:top w:val="nil"/>
              <w:left w:val="nil"/>
              <w:bottom w:val="nil"/>
              <w:right w:val="nil"/>
            </w:tcBorders>
          </w:tcPr>
          <w:p w14:paraId="0769D272" w14:textId="77777777" w:rsidR="00BC309D" w:rsidRPr="00FB0D93" w:rsidRDefault="00BC309D" w:rsidP="006318F1">
            <w:pPr>
              <w:rPr>
                <w:lang w:val="fr-BE"/>
              </w:rPr>
            </w:pPr>
          </w:p>
        </w:tc>
      </w:tr>
      <w:tr w:rsidR="00FB0D93" w:rsidRPr="00FB0D93" w14:paraId="0769D277" w14:textId="77777777" w:rsidTr="006318F1">
        <w:tc>
          <w:tcPr>
            <w:tcW w:w="2302" w:type="dxa"/>
            <w:tcBorders>
              <w:top w:val="nil"/>
              <w:left w:val="nil"/>
              <w:bottom w:val="nil"/>
              <w:right w:val="nil"/>
            </w:tcBorders>
          </w:tcPr>
          <w:p w14:paraId="0769D274" w14:textId="77777777" w:rsidR="00BC309D" w:rsidRPr="00FB0D93" w:rsidRDefault="00BC309D" w:rsidP="006318F1">
            <w:pPr>
              <w:rPr>
                <w:lang w:val="fr-BE"/>
              </w:rPr>
            </w:pPr>
            <w:r w:rsidRPr="00FB0D93">
              <w:rPr>
                <w:lang w:val="fr-BE"/>
              </w:rPr>
              <w:t>3</w:t>
            </w:r>
          </w:p>
        </w:tc>
        <w:tc>
          <w:tcPr>
            <w:tcW w:w="4605" w:type="dxa"/>
            <w:tcBorders>
              <w:top w:val="nil"/>
              <w:left w:val="nil"/>
              <w:bottom w:val="nil"/>
              <w:right w:val="nil"/>
            </w:tcBorders>
          </w:tcPr>
          <w:p w14:paraId="0769D275" w14:textId="77777777" w:rsidR="00BC309D" w:rsidRPr="00FB0D93" w:rsidRDefault="00BC309D" w:rsidP="006318F1">
            <w:pPr>
              <w:rPr>
                <w:lang w:val="fr-BE"/>
              </w:rPr>
            </w:pPr>
          </w:p>
        </w:tc>
        <w:tc>
          <w:tcPr>
            <w:tcW w:w="2303" w:type="dxa"/>
            <w:tcBorders>
              <w:top w:val="nil"/>
              <w:left w:val="nil"/>
              <w:bottom w:val="nil"/>
              <w:right w:val="nil"/>
            </w:tcBorders>
          </w:tcPr>
          <w:p w14:paraId="0769D276" w14:textId="77777777" w:rsidR="00BC309D" w:rsidRPr="00FB0D93" w:rsidRDefault="00BC309D" w:rsidP="006318F1">
            <w:pPr>
              <w:rPr>
                <w:lang w:val="fr-BE"/>
              </w:rPr>
            </w:pPr>
          </w:p>
        </w:tc>
      </w:tr>
      <w:tr w:rsidR="00FB0D93" w:rsidRPr="00FB0D93" w14:paraId="0769D27B" w14:textId="77777777" w:rsidTr="006318F1">
        <w:tc>
          <w:tcPr>
            <w:tcW w:w="2302" w:type="dxa"/>
            <w:tcBorders>
              <w:top w:val="nil"/>
              <w:left w:val="nil"/>
              <w:bottom w:val="nil"/>
              <w:right w:val="nil"/>
            </w:tcBorders>
          </w:tcPr>
          <w:p w14:paraId="0769D278" w14:textId="77777777" w:rsidR="00BC309D" w:rsidRPr="00FB0D93" w:rsidRDefault="00BC309D" w:rsidP="006318F1">
            <w:pPr>
              <w:rPr>
                <w:lang w:val="fr-BE"/>
              </w:rPr>
            </w:pPr>
            <w:r w:rsidRPr="00FB0D93">
              <w:rPr>
                <w:lang w:val="fr-BE"/>
              </w:rPr>
              <w:t>4</w:t>
            </w:r>
          </w:p>
        </w:tc>
        <w:tc>
          <w:tcPr>
            <w:tcW w:w="4605" w:type="dxa"/>
            <w:tcBorders>
              <w:top w:val="nil"/>
              <w:left w:val="nil"/>
              <w:bottom w:val="nil"/>
              <w:right w:val="nil"/>
            </w:tcBorders>
          </w:tcPr>
          <w:p w14:paraId="0769D279" w14:textId="77777777" w:rsidR="00BC309D" w:rsidRPr="00FB0D93" w:rsidRDefault="00BC309D" w:rsidP="006318F1">
            <w:pPr>
              <w:rPr>
                <w:lang w:val="fr-BE"/>
              </w:rPr>
            </w:pPr>
          </w:p>
        </w:tc>
        <w:tc>
          <w:tcPr>
            <w:tcW w:w="2303" w:type="dxa"/>
            <w:tcBorders>
              <w:top w:val="nil"/>
              <w:left w:val="nil"/>
              <w:bottom w:val="nil"/>
              <w:right w:val="nil"/>
            </w:tcBorders>
          </w:tcPr>
          <w:p w14:paraId="0769D27A" w14:textId="77777777" w:rsidR="00BC309D" w:rsidRPr="00FB0D93" w:rsidRDefault="00BC309D" w:rsidP="006318F1">
            <w:pPr>
              <w:rPr>
                <w:lang w:val="fr-BE"/>
              </w:rPr>
            </w:pPr>
          </w:p>
        </w:tc>
      </w:tr>
      <w:tr w:rsidR="00FB0D93" w:rsidRPr="00FB0D93" w14:paraId="0769D27F" w14:textId="77777777" w:rsidTr="006318F1">
        <w:tc>
          <w:tcPr>
            <w:tcW w:w="2302" w:type="dxa"/>
            <w:tcBorders>
              <w:top w:val="nil"/>
              <w:left w:val="nil"/>
              <w:bottom w:val="nil"/>
              <w:right w:val="nil"/>
            </w:tcBorders>
          </w:tcPr>
          <w:p w14:paraId="0769D27C" w14:textId="77777777" w:rsidR="00BC309D" w:rsidRPr="00FB0D93" w:rsidRDefault="00BC309D" w:rsidP="006318F1">
            <w:pPr>
              <w:rPr>
                <w:lang w:val="fr-BE"/>
              </w:rPr>
            </w:pPr>
            <w:r w:rsidRPr="00FB0D93">
              <w:rPr>
                <w:lang w:val="fr-BE"/>
              </w:rPr>
              <w:t>5</w:t>
            </w:r>
          </w:p>
        </w:tc>
        <w:tc>
          <w:tcPr>
            <w:tcW w:w="4605" w:type="dxa"/>
            <w:tcBorders>
              <w:top w:val="nil"/>
              <w:left w:val="nil"/>
              <w:bottom w:val="nil"/>
              <w:right w:val="nil"/>
            </w:tcBorders>
          </w:tcPr>
          <w:p w14:paraId="0769D27D" w14:textId="77777777" w:rsidR="00BC309D" w:rsidRPr="00FB0D93" w:rsidRDefault="00BC309D" w:rsidP="006318F1">
            <w:pPr>
              <w:rPr>
                <w:lang w:val="fr-BE"/>
              </w:rPr>
            </w:pPr>
          </w:p>
        </w:tc>
        <w:tc>
          <w:tcPr>
            <w:tcW w:w="2303" w:type="dxa"/>
            <w:tcBorders>
              <w:top w:val="nil"/>
              <w:left w:val="nil"/>
              <w:bottom w:val="nil"/>
              <w:right w:val="nil"/>
            </w:tcBorders>
          </w:tcPr>
          <w:p w14:paraId="0769D27E" w14:textId="77777777" w:rsidR="00BC309D" w:rsidRPr="00FB0D93" w:rsidRDefault="00BC309D" w:rsidP="006318F1">
            <w:pPr>
              <w:rPr>
                <w:lang w:val="fr-BE"/>
              </w:rPr>
            </w:pPr>
          </w:p>
        </w:tc>
      </w:tr>
      <w:tr w:rsidR="00FB0D93" w:rsidRPr="00FB0D93" w14:paraId="0769D283" w14:textId="77777777" w:rsidTr="006318F1">
        <w:tc>
          <w:tcPr>
            <w:tcW w:w="2302" w:type="dxa"/>
            <w:tcBorders>
              <w:top w:val="nil"/>
              <w:left w:val="nil"/>
              <w:bottom w:val="nil"/>
              <w:right w:val="nil"/>
            </w:tcBorders>
          </w:tcPr>
          <w:p w14:paraId="0769D280" w14:textId="77777777" w:rsidR="00BC309D" w:rsidRPr="00FB0D93" w:rsidRDefault="00BC309D" w:rsidP="006318F1">
            <w:pPr>
              <w:rPr>
                <w:lang w:val="fr-BE"/>
              </w:rPr>
            </w:pPr>
            <w:r w:rsidRPr="00FB0D93">
              <w:rPr>
                <w:lang w:val="fr-BE"/>
              </w:rPr>
              <w:t>6</w:t>
            </w:r>
          </w:p>
        </w:tc>
        <w:tc>
          <w:tcPr>
            <w:tcW w:w="4605" w:type="dxa"/>
            <w:tcBorders>
              <w:top w:val="nil"/>
              <w:left w:val="nil"/>
              <w:bottom w:val="nil"/>
              <w:right w:val="nil"/>
            </w:tcBorders>
          </w:tcPr>
          <w:p w14:paraId="0769D281" w14:textId="77777777" w:rsidR="00BC309D" w:rsidRPr="00FB0D93" w:rsidRDefault="00BC309D" w:rsidP="006318F1">
            <w:pPr>
              <w:rPr>
                <w:lang w:val="fr-BE"/>
              </w:rPr>
            </w:pPr>
          </w:p>
        </w:tc>
        <w:tc>
          <w:tcPr>
            <w:tcW w:w="2303" w:type="dxa"/>
            <w:tcBorders>
              <w:top w:val="nil"/>
              <w:left w:val="nil"/>
              <w:bottom w:val="nil"/>
              <w:right w:val="nil"/>
            </w:tcBorders>
          </w:tcPr>
          <w:p w14:paraId="0769D282" w14:textId="77777777" w:rsidR="00BC309D" w:rsidRPr="00FB0D93" w:rsidRDefault="00BC309D" w:rsidP="006318F1">
            <w:pPr>
              <w:rPr>
                <w:lang w:val="fr-BE"/>
              </w:rPr>
            </w:pPr>
          </w:p>
        </w:tc>
      </w:tr>
      <w:tr w:rsidR="00FB0D93" w:rsidRPr="00FB0D93" w14:paraId="0769D287" w14:textId="77777777" w:rsidTr="006318F1">
        <w:tc>
          <w:tcPr>
            <w:tcW w:w="2302" w:type="dxa"/>
            <w:tcBorders>
              <w:top w:val="nil"/>
              <w:left w:val="nil"/>
              <w:bottom w:val="nil"/>
              <w:right w:val="nil"/>
            </w:tcBorders>
          </w:tcPr>
          <w:p w14:paraId="0769D284" w14:textId="77777777" w:rsidR="00BC309D" w:rsidRPr="00FB0D93" w:rsidRDefault="00BC309D" w:rsidP="006318F1">
            <w:pPr>
              <w:rPr>
                <w:lang w:val="fr-BE"/>
              </w:rPr>
            </w:pPr>
            <w:r w:rsidRPr="00FB0D93">
              <w:rPr>
                <w:lang w:val="fr-BE"/>
              </w:rPr>
              <w:t>7</w:t>
            </w:r>
          </w:p>
        </w:tc>
        <w:tc>
          <w:tcPr>
            <w:tcW w:w="4605" w:type="dxa"/>
            <w:tcBorders>
              <w:top w:val="nil"/>
              <w:left w:val="nil"/>
              <w:bottom w:val="nil"/>
              <w:right w:val="nil"/>
            </w:tcBorders>
          </w:tcPr>
          <w:p w14:paraId="0769D285" w14:textId="77777777" w:rsidR="00BC309D" w:rsidRPr="00FB0D93" w:rsidRDefault="00BC309D" w:rsidP="006318F1">
            <w:pPr>
              <w:rPr>
                <w:lang w:val="fr-BE"/>
              </w:rPr>
            </w:pPr>
          </w:p>
        </w:tc>
        <w:tc>
          <w:tcPr>
            <w:tcW w:w="2303" w:type="dxa"/>
            <w:tcBorders>
              <w:top w:val="nil"/>
              <w:left w:val="nil"/>
              <w:bottom w:val="nil"/>
              <w:right w:val="nil"/>
            </w:tcBorders>
          </w:tcPr>
          <w:p w14:paraId="0769D286" w14:textId="77777777" w:rsidR="00BC309D" w:rsidRPr="00FB0D93" w:rsidRDefault="00BC309D" w:rsidP="006318F1">
            <w:pPr>
              <w:rPr>
                <w:lang w:val="fr-BE"/>
              </w:rPr>
            </w:pPr>
          </w:p>
        </w:tc>
      </w:tr>
      <w:tr w:rsidR="00FB0D93" w:rsidRPr="00FB0D93" w14:paraId="0769D28B" w14:textId="77777777" w:rsidTr="006318F1">
        <w:tc>
          <w:tcPr>
            <w:tcW w:w="2302" w:type="dxa"/>
            <w:tcBorders>
              <w:top w:val="nil"/>
              <w:left w:val="nil"/>
              <w:bottom w:val="nil"/>
              <w:right w:val="nil"/>
            </w:tcBorders>
          </w:tcPr>
          <w:p w14:paraId="0769D288" w14:textId="77777777" w:rsidR="00BC309D" w:rsidRPr="00FB0D93" w:rsidRDefault="00BC309D" w:rsidP="006318F1">
            <w:pPr>
              <w:rPr>
                <w:lang w:val="fr-BE"/>
              </w:rPr>
            </w:pPr>
            <w:r w:rsidRPr="00FB0D93">
              <w:rPr>
                <w:lang w:val="fr-BE"/>
              </w:rPr>
              <w:t>8</w:t>
            </w:r>
          </w:p>
        </w:tc>
        <w:tc>
          <w:tcPr>
            <w:tcW w:w="4605" w:type="dxa"/>
            <w:tcBorders>
              <w:top w:val="nil"/>
              <w:left w:val="nil"/>
              <w:bottom w:val="nil"/>
              <w:right w:val="nil"/>
            </w:tcBorders>
          </w:tcPr>
          <w:p w14:paraId="0769D289" w14:textId="77777777" w:rsidR="00BC309D" w:rsidRPr="00FB0D93" w:rsidRDefault="00BC309D" w:rsidP="006318F1">
            <w:pPr>
              <w:rPr>
                <w:lang w:val="fr-BE"/>
              </w:rPr>
            </w:pPr>
          </w:p>
        </w:tc>
        <w:tc>
          <w:tcPr>
            <w:tcW w:w="2303" w:type="dxa"/>
            <w:tcBorders>
              <w:top w:val="nil"/>
              <w:left w:val="nil"/>
              <w:bottom w:val="nil"/>
              <w:right w:val="nil"/>
            </w:tcBorders>
          </w:tcPr>
          <w:p w14:paraId="0769D28A" w14:textId="77777777" w:rsidR="00BC309D" w:rsidRPr="00FB0D93" w:rsidRDefault="00BC309D" w:rsidP="006318F1">
            <w:pPr>
              <w:rPr>
                <w:lang w:val="fr-BE"/>
              </w:rPr>
            </w:pPr>
          </w:p>
        </w:tc>
      </w:tr>
      <w:tr w:rsidR="00FB0D93" w:rsidRPr="00FB0D93" w14:paraId="0769D28F" w14:textId="77777777" w:rsidTr="006318F1">
        <w:tc>
          <w:tcPr>
            <w:tcW w:w="2302" w:type="dxa"/>
            <w:tcBorders>
              <w:top w:val="nil"/>
              <w:left w:val="nil"/>
              <w:bottom w:val="nil"/>
              <w:right w:val="nil"/>
            </w:tcBorders>
          </w:tcPr>
          <w:p w14:paraId="0769D28C" w14:textId="77777777" w:rsidR="00BC309D" w:rsidRPr="00FB0D93" w:rsidRDefault="00BC309D" w:rsidP="006318F1">
            <w:pPr>
              <w:rPr>
                <w:lang w:val="fr-BE"/>
              </w:rPr>
            </w:pPr>
            <w:r w:rsidRPr="00FB0D93">
              <w:rPr>
                <w:lang w:val="fr-BE"/>
              </w:rPr>
              <w:t>9</w:t>
            </w:r>
          </w:p>
        </w:tc>
        <w:tc>
          <w:tcPr>
            <w:tcW w:w="4605" w:type="dxa"/>
            <w:tcBorders>
              <w:top w:val="nil"/>
              <w:left w:val="nil"/>
              <w:bottom w:val="nil"/>
              <w:right w:val="nil"/>
            </w:tcBorders>
          </w:tcPr>
          <w:p w14:paraId="0769D28D" w14:textId="77777777" w:rsidR="00BC309D" w:rsidRPr="00FB0D93" w:rsidRDefault="00BC309D" w:rsidP="006318F1">
            <w:pPr>
              <w:rPr>
                <w:lang w:val="fr-BE"/>
              </w:rPr>
            </w:pPr>
          </w:p>
        </w:tc>
        <w:tc>
          <w:tcPr>
            <w:tcW w:w="2303" w:type="dxa"/>
            <w:tcBorders>
              <w:top w:val="nil"/>
              <w:left w:val="nil"/>
              <w:bottom w:val="nil"/>
              <w:right w:val="nil"/>
            </w:tcBorders>
          </w:tcPr>
          <w:p w14:paraId="0769D28E" w14:textId="77777777" w:rsidR="00BC309D" w:rsidRPr="00FB0D93" w:rsidRDefault="00BC309D" w:rsidP="006318F1">
            <w:pPr>
              <w:rPr>
                <w:lang w:val="fr-BE"/>
              </w:rPr>
            </w:pPr>
          </w:p>
        </w:tc>
      </w:tr>
      <w:tr w:rsidR="00FB0D93" w:rsidRPr="00FB0D93" w14:paraId="0769D293" w14:textId="77777777" w:rsidTr="006318F1">
        <w:tc>
          <w:tcPr>
            <w:tcW w:w="2302" w:type="dxa"/>
            <w:tcBorders>
              <w:top w:val="nil"/>
              <w:left w:val="nil"/>
              <w:bottom w:val="nil"/>
              <w:right w:val="nil"/>
            </w:tcBorders>
          </w:tcPr>
          <w:p w14:paraId="0769D290" w14:textId="77777777" w:rsidR="00BC309D" w:rsidRPr="00FB0D93" w:rsidRDefault="00BC309D" w:rsidP="006318F1">
            <w:pPr>
              <w:rPr>
                <w:lang w:val="fr-BE"/>
              </w:rPr>
            </w:pPr>
            <w:r w:rsidRPr="00FB0D93">
              <w:rPr>
                <w:lang w:val="fr-BE"/>
              </w:rPr>
              <w:t>10</w:t>
            </w:r>
          </w:p>
        </w:tc>
        <w:tc>
          <w:tcPr>
            <w:tcW w:w="4605" w:type="dxa"/>
            <w:tcBorders>
              <w:top w:val="nil"/>
              <w:left w:val="nil"/>
              <w:bottom w:val="nil"/>
              <w:right w:val="nil"/>
            </w:tcBorders>
          </w:tcPr>
          <w:p w14:paraId="0769D291" w14:textId="77777777" w:rsidR="00BC309D" w:rsidRPr="00FB0D93" w:rsidRDefault="00BC309D" w:rsidP="006318F1">
            <w:pPr>
              <w:rPr>
                <w:lang w:val="fr-BE"/>
              </w:rPr>
            </w:pPr>
          </w:p>
        </w:tc>
        <w:tc>
          <w:tcPr>
            <w:tcW w:w="2303" w:type="dxa"/>
            <w:tcBorders>
              <w:top w:val="nil"/>
              <w:left w:val="nil"/>
              <w:bottom w:val="nil"/>
              <w:right w:val="nil"/>
            </w:tcBorders>
          </w:tcPr>
          <w:p w14:paraId="0769D292" w14:textId="77777777" w:rsidR="00BC309D" w:rsidRPr="00FB0D93" w:rsidRDefault="00BC309D" w:rsidP="006318F1">
            <w:pPr>
              <w:rPr>
                <w:lang w:val="fr-BE"/>
              </w:rPr>
            </w:pPr>
          </w:p>
        </w:tc>
      </w:tr>
      <w:tr w:rsidR="00FB0D93" w:rsidRPr="00FB0D93" w14:paraId="0769D297" w14:textId="77777777" w:rsidTr="006318F1">
        <w:tc>
          <w:tcPr>
            <w:tcW w:w="2302" w:type="dxa"/>
            <w:tcBorders>
              <w:top w:val="nil"/>
              <w:left w:val="nil"/>
              <w:bottom w:val="nil"/>
              <w:right w:val="nil"/>
            </w:tcBorders>
          </w:tcPr>
          <w:p w14:paraId="0769D294" w14:textId="77777777" w:rsidR="00BC309D" w:rsidRPr="00FB0D93" w:rsidRDefault="00BC309D" w:rsidP="006318F1">
            <w:pPr>
              <w:rPr>
                <w:lang w:val="fr-BE"/>
              </w:rPr>
            </w:pPr>
            <w:r w:rsidRPr="00FB0D93">
              <w:rPr>
                <w:lang w:val="fr-BE"/>
              </w:rPr>
              <w:t>11</w:t>
            </w:r>
          </w:p>
        </w:tc>
        <w:tc>
          <w:tcPr>
            <w:tcW w:w="4605" w:type="dxa"/>
            <w:tcBorders>
              <w:top w:val="nil"/>
              <w:left w:val="nil"/>
              <w:bottom w:val="nil"/>
              <w:right w:val="nil"/>
            </w:tcBorders>
          </w:tcPr>
          <w:p w14:paraId="0769D295" w14:textId="77777777" w:rsidR="00BC309D" w:rsidRPr="00FB0D93" w:rsidRDefault="00BC309D" w:rsidP="006318F1">
            <w:pPr>
              <w:rPr>
                <w:lang w:val="fr-BE"/>
              </w:rPr>
            </w:pPr>
          </w:p>
        </w:tc>
        <w:tc>
          <w:tcPr>
            <w:tcW w:w="2303" w:type="dxa"/>
            <w:tcBorders>
              <w:top w:val="nil"/>
              <w:left w:val="nil"/>
              <w:bottom w:val="nil"/>
              <w:right w:val="nil"/>
            </w:tcBorders>
          </w:tcPr>
          <w:p w14:paraId="0769D296" w14:textId="77777777" w:rsidR="00BC309D" w:rsidRPr="00FB0D93" w:rsidRDefault="00BC309D" w:rsidP="006318F1">
            <w:pPr>
              <w:rPr>
                <w:lang w:val="fr-BE"/>
              </w:rPr>
            </w:pPr>
          </w:p>
        </w:tc>
      </w:tr>
      <w:tr w:rsidR="00FB0D93" w:rsidRPr="00FB0D93" w14:paraId="0769D29B" w14:textId="77777777" w:rsidTr="006318F1">
        <w:tc>
          <w:tcPr>
            <w:tcW w:w="2302" w:type="dxa"/>
            <w:tcBorders>
              <w:top w:val="nil"/>
              <w:left w:val="nil"/>
              <w:bottom w:val="nil"/>
              <w:right w:val="nil"/>
            </w:tcBorders>
          </w:tcPr>
          <w:p w14:paraId="0769D298" w14:textId="77777777" w:rsidR="00BC309D" w:rsidRPr="00FB0D93" w:rsidRDefault="00BC309D" w:rsidP="006318F1">
            <w:pPr>
              <w:rPr>
                <w:lang w:val="fr-BE"/>
              </w:rPr>
            </w:pPr>
            <w:r w:rsidRPr="00FB0D93">
              <w:rPr>
                <w:lang w:val="fr-BE"/>
              </w:rPr>
              <w:t>12</w:t>
            </w:r>
          </w:p>
        </w:tc>
        <w:tc>
          <w:tcPr>
            <w:tcW w:w="4605" w:type="dxa"/>
            <w:tcBorders>
              <w:top w:val="nil"/>
              <w:left w:val="nil"/>
              <w:bottom w:val="nil"/>
              <w:right w:val="nil"/>
            </w:tcBorders>
          </w:tcPr>
          <w:p w14:paraId="0769D299" w14:textId="77777777" w:rsidR="00BC309D" w:rsidRPr="00FB0D93" w:rsidRDefault="00BC309D" w:rsidP="006318F1">
            <w:pPr>
              <w:rPr>
                <w:lang w:val="fr-BE"/>
              </w:rPr>
            </w:pPr>
          </w:p>
        </w:tc>
        <w:tc>
          <w:tcPr>
            <w:tcW w:w="2303" w:type="dxa"/>
            <w:tcBorders>
              <w:top w:val="nil"/>
              <w:left w:val="nil"/>
              <w:bottom w:val="nil"/>
              <w:right w:val="nil"/>
            </w:tcBorders>
          </w:tcPr>
          <w:p w14:paraId="0769D29A" w14:textId="77777777" w:rsidR="00BC309D" w:rsidRPr="00FB0D93" w:rsidRDefault="00BC309D" w:rsidP="006318F1">
            <w:pPr>
              <w:rPr>
                <w:lang w:val="fr-BE"/>
              </w:rPr>
            </w:pPr>
          </w:p>
        </w:tc>
      </w:tr>
      <w:tr w:rsidR="00FB0D93" w:rsidRPr="00FB0D93" w14:paraId="0769D29F" w14:textId="77777777" w:rsidTr="006318F1">
        <w:tc>
          <w:tcPr>
            <w:tcW w:w="2302" w:type="dxa"/>
            <w:tcBorders>
              <w:top w:val="nil"/>
              <w:left w:val="nil"/>
              <w:bottom w:val="nil"/>
              <w:right w:val="nil"/>
            </w:tcBorders>
          </w:tcPr>
          <w:p w14:paraId="0769D29C" w14:textId="77777777" w:rsidR="00BC309D" w:rsidRPr="00FB0D93" w:rsidRDefault="00BC309D" w:rsidP="006318F1">
            <w:pPr>
              <w:rPr>
                <w:lang w:val="fr-BE"/>
              </w:rPr>
            </w:pPr>
            <w:r w:rsidRPr="00FB0D93">
              <w:rPr>
                <w:lang w:val="fr-BE"/>
              </w:rPr>
              <w:t>13</w:t>
            </w:r>
          </w:p>
        </w:tc>
        <w:tc>
          <w:tcPr>
            <w:tcW w:w="4605" w:type="dxa"/>
            <w:tcBorders>
              <w:top w:val="nil"/>
              <w:left w:val="nil"/>
              <w:bottom w:val="nil"/>
              <w:right w:val="nil"/>
            </w:tcBorders>
          </w:tcPr>
          <w:p w14:paraId="0769D29D" w14:textId="77777777" w:rsidR="00BC309D" w:rsidRPr="00FB0D93" w:rsidRDefault="00BC309D" w:rsidP="006318F1">
            <w:pPr>
              <w:rPr>
                <w:lang w:val="fr-BE"/>
              </w:rPr>
            </w:pPr>
          </w:p>
        </w:tc>
        <w:tc>
          <w:tcPr>
            <w:tcW w:w="2303" w:type="dxa"/>
            <w:tcBorders>
              <w:top w:val="nil"/>
              <w:left w:val="nil"/>
              <w:bottom w:val="nil"/>
              <w:right w:val="nil"/>
            </w:tcBorders>
          </w:tcPr>
          <w:p w14:paraId="0769D29E" w14:textId="77777777" w:rsidR="00BC309D" w:rsidRPr="00FB0D93" w:rsidRDefault="00BC309D" w:rsidP="006318F1">
            <w:pPr>
              <w:rPr>
                <w:lang w:val="fr-BE"/>
              </w:rPr>
            </w:pPr>
          </w:p>
        </w:tc>
      </w:tr>
      <w:tr w:rsidR="00FB0D93" w:rsidRPr="00FB0D93" w14:paraId="0769D2A3" w14:textId="77777777" w:rsidTr="006318F1">
        <w:tc>
          <w:tcPr>
            <w:tcW w:w="2302" w:type="dxa"/>
            <w:tcBorders>
              <w:top w:val="nil"/>
              <w:left w:val="nil"/>
              <w:bottom w:val="nil"/>
              <w:right w:val="nil"/>
            </w:tcBorders>
          </w:tcPr>
          <w:p w14:paraId="0769D2A0" w14:textId="77777777" w:rsidR="00BC309D" w:rsidRPr="00FB0D93" w:rsidRDefault="00BC309D" w:rsidP="006318F1">
            <w:pPr>
              <w:rPr>
                <w:lang w:val="fr-BE"/>
              </w:rPr>
            </w:pPr>
            <w:r w:rsidRPr="00FB0D93">
              <w:rPr>
                <w:lang w:val="fr-BE"/>
              </w:rPr>
              <w:t>14</w:t>
            </w:r>
          </w:p>
        </w:tc>
        <w:tc>
          <w:tcPr>
            <w:tcW w:w="4605" w:type="dxa"/>
            <w:tcBorders>
              <w:top w:val="nil"/>
              <w:left w:val="nil"/>
              <w:bottom w:val="nil"/>
              <w:right w:val="nil"/>
            </w:tcBorders>
          </w:tcPr>
          <w:p w14:paraId="0769D2A1" w14:textId="77777777" w:rsidR="00BC309D" w:rsidRPr="00FB0D93" w:rsidRDefault="00BC309D" w:rsidP="006318F1">
            <w:pPr>
              <w:rPr>
                <w:lang w:val="fr-BE"/>
              </w:rPr>
            </w:pPr>
          </w:p>
        </w:tc>
        <w:tc>
          <w:tcPr>
            <w:tcW w:w="2303" w:type="dxa"/>
            <w:tcBorders>
              <w:top w:val="nil"/>
              <w:left w:val="nil"/>
              <w:bottom w:val="nil"/>
              <w:right w:val="nil"/>
            </w:tcBorders>
          </w:tcPr>
          <w:p w14:paraId="0769D2A2" w14:textId="77777777" w:rsidR="00BC309D" w:rsidRPr="00FB0D93" w:rsidRDefault="00BC309D" w:rsidP="006318F1">
            <w:pPr>
              <w:rPr>
                <w:lang w:val="fr-BE"/>
              </w:rPr>
            </w:pPr>
          </w:p>
        </w:tc>
      </w:tr>
      <w:tr w:rsidR="00FB0D93" w:rsidRPr="00FB0D93" w14:paraId="0769D2A7" w14:textId="77777777" w:rsidTr="006318F1">
        <w:tc>
          <w:tcPr>
            <w:tcW w:w="2302" w:type="dxa"/>
            <w:tcBorders>
              <w:top w:val="nil"/>
              <w:left w:val="nil"/>
              <w:bottom w:val="nil"/>
              <w:right w:val="nil"/>
            </w:tcBorders>
          </w:tcPr>
          <w:p w14:paraId="0769D2A4" w14:textId="77777777" w:rsidR="00BC309D" w:rsidRPr="00FB0D93" w:rsidRDefault="00BC309D" w:rsidP="006318F1">
            <w:pPr>
              <w:rPr>
                <w:lang w:val="fr-BE"/>
              </w:rPr>
            </w:pPr>
            <w:r w:rsidRPr="00FB0D93">
              <w:rPr>
                <w:lang w:val="fr-BE"/>
              </w:rPr>
              <w:t>15</w:t>
            </w:r>
          </w:p>
        </w:tc>
        <w:tc>
          <w:tcPr>
            <w:tcW w:w="4605" w:type="dxa"/>
            <w:tcBorders>
              <w:top w:val="nil"/>
              <w:left w:val="nil"/>
              <w:bottom w:val="nil"/>
              <w:right w:val="nil"/>
            </w:tcBorders>
          </w:tcPr>
          <w:p w14:paraId="0769D2A5" w14:textId="77777777" w:rsidR="00BC309D" w:rsidRPr="00FB0D93" w:rsidRDefault="00BC309D" w:rsidP="006318F1">
            <w:pPr>
              <w:rPr>
                <w:lang w:val="fr-BE"/>
              </w:rPr>
            </w:pPr>
          </w:p>
        </w:tc>
        <w:tc>
          <w:tcPr>
            <w:tcW w:w="2303" w:type="dxa"/>
            <w:tcBorders>
              <w:top w:val="nil"/>
              <w:left w:val="nil"/>
              <w:bottom w:val="nil"/>
              <w:right w:val="nil"/>
            </w:tcBorders>
          </w:tcPr>
          <w:p w14:paraId="0769D2A6" w14:textId="77777777" w:rsidR="00BC309D" w:rsidRPr="00FB0D93" w:rsidRDefault="00BC309D" w:rsidP="006318F1">
            <w:pPr>
              <w:rPr>
                <w:lang w:val="fr-BE"/>
              </w:rPr>
            </w:pPr>
          </w:p>
        </w:tc>
      </w:tr>
      <w:tr w:rsidR="00FB0D93" w:rsidRPr="00FB0D93" w14:paraId="0769D2AB" w14:textId="77777777" w:rsidTr="006318F1">
        <w:tc>
          <w:tcPr>
            <w:tcW w:w="2302" w:type="dxa"/>
            <w:tcBorders>
              <w:top w:val="nil"/>
              <w:left w:val="nil"/>
              <w:bottom w:val="nil"/>
              <w:right w:val="nil"/>
            </w:tcBorders>
          </w:tcPr>
          <w:p w14:paraId="0769D2A8" w14:textId="77777777" w:rsidR="00BC309D" w:rsidRPr="00FB0D93" w:rsidRDefault="00BC309D" w:rsidP="006318F1">
            <w:pPr>
              <w:rPr>
                <w:lang w:val="fr-BE"/>
              </w:rPr>
            </w:pPr>
            <w:r w:rsidRPr="00FB0D93">
              <w:rPr>
                <w:lang w:val="fr-BE"/>
              </w:rPr>
              <w:t>16</w:t>
            </w:r>
          </w:p>
        </w:tc>
        <w:tc>
          <w:tcPr>
            <w:tcW w:w="4605" w:type="dxa"/>
            <w:tcBorders>
              <w:top w:val="nil"/>
              <w:left w:val="nil"/>
              <w:bottom w:val="nil"/>
              <w:right w:val="nil"/>
            </w:tcBorders>
          </w:tcPr>
          <w:p w14:paraId="0769D2A9" w14:textId="77777777" w:rsidR="00BC309D" w:rsidRPr="00FB0D93" w:rsidRDefault="00BC309D" w:rsidP="006318F1">
            <w:pPr>
              <w:rPr>
                <w:lang w:val="fr-BE"/>
              </w:rPr>
            </w:pPr>
          </w:p>
        </w:tc>
        <w:tc>
          <w:tcPr>
            <w:tcW w:w="2303" w:type="dxa"/>
            <w:tcBorders>
              <w:top w:val="nil"/>
              <w:left w:val="nil"/>
              <w:bottom w:val="nil"/>
              <w:right w:val="nil"/>
            </w:tcBorders>
          </w:tcPr>
          <w:p w14:paraId="0769D2AA" w14:textId="77777777" w:rsidR="00BC309D" w:rsidRPr="00FB0D93" w:rsidRDefault="00BC309D" w:rsidP="006318F1">
            <w:pPr>
              <w:rPr>
                <w:lang w:val="fr-BE"/>
              </w:rPr>
            </w:pPr>
          </w:p>
        </w:tc>
      </w:tr>
      <w:tr w:rsidR="00FB0D93" w:rsidRPr="00FB0D93" w14:paraId="0769D2AF" w14:textId="77777777" w:rsidTr="006318F1">
        <w:tc>
          <w:tcPr>
            <w:tcW w:w="2302" w:type="dxa"/>
            <w:tcBorders>
              <w:top w:val="nil"/>
              <w:left w:val="nil"/>
              <w:bottom w:val="nil"/>
              <w:right w:val="nil"/>
            </w:tcBorders>
          </w:tcPr>
          <w:p w14:paraId="0769D2AC" w14:textId="77777777" w:rsidR="00BC309D" w:rsidRPr="00FB0D93" w:rsidRDefault="00BC309D" w:rsidP="006318F1">
            <w:pPr>
              <w:rPr>
                <w:lang w:val="fr-BE"/>
              </w:rPr>
            </w:pPr>
            <w:r w:rsidRPr="00FB0D93">
              <w:rPr>
                <w:lang w:val="fr-BE"/>
              </w:rPr>
              <w:t>17</w:t>
            </w:r>
          </w:p>
        </w:tc>
        <w:tc>
          <w:tcPr>
            <w:tcW w:w="4605" w:type="dxa"/>
            <w:tcBorders>
              <w:top w:val="nil"/>
              <w:left w:val="nil"/>
              <w:bottom w:val="nil"/>
              <w:right w:val="nil"/>
            </w:tcBorders>
          </w:tcPr>
          <w:p w14:paraId="0769D2AD" w14:textId="77777777" w:rsidR="00BC309D" w:rsidRPr="00FB0D93" w:rsidRDefault="00BC309D" w:rsidP="006318F1">
            <w:pPr>
              <w:rPr>
                <w:lang w:val="fr-BE"/>
              </w:rPr>
            </w:pPr>
          </w:p>
        </w:tc>
        <w:tc>
          <w:tcPr>
            <w:tcW w:w="2303" w:type="dxa"/>
            <w:tcBorders>
              <w:top w:val="nil"/>
              <w:left w:val="nil"/>
              <w:bottom w:val="nil"/>
              <w:right w:val="nil"/>
            </w:tcBorders>
          </w:tcPr>
          <w:p w14:paraId="0769D2AE" w14:textId="77777777" w:rsidR="00BC309D" w:rsidRPr="00FB0D93" w:rsidRDefault="00BC309D" w:rsidP="006318F1">
            <w:pPr>
              <w:rPr>
                <w:lang w:val="fr-BE"/>
              </w:rPr>
            </w:pPr>
          </w:p>
        </w:tc>
      </w:tr>
      <w:tr w:rsidR="00FB0D93" w:rsidRPr="00FB0D93" w14:paraId="0769D2B3" w14:textId="77777777" w:rsidTr="006318F1">
        <w:tc>
          <w:tcPr>
            <w:tcW w:w="2302" w:type="dxa"/>
            <w:tcBorders>
              <w:top w:val="nil"/>
              <w:left w:val="nil"/>
              <w:bottom w:val="nil"/>
              <w:right w:val="nil"/>
            </w:tcBorders>
          </w:tcPr>
          <w:p w14:paraId="0769D2B0" w14:textId="77777777" w:rsidR="00BC309D" w:rsidRPr="00FB0D93" w:rsidRDefault="00BC309D" w:rsidP="006318F1">
            <w:pPr>
              <w:rPr>
                <w:lang w:val="fr-BE"/>
              </w:rPr>
            </w:pPr>
            <w:r w:rsidRPr="00FB0D93">
              <w:rPr>
                <w:lang w:val="fr-BE"/>
              </w:rPr>
              <w:t>18</w:t>
            </w:r>
          </w:p>
        </w:tc>
        <w:tc>
          <w:tcPr>
            <w:tcW w:w="4605" w:type="dxa"/>
            <w:tcBorders>
              <w:top w:val="nil"/>
              <w:left w:val="nil"/>
              <w:bottom w:val="nil"/>
              <w:right w:val="nil"/>
            </w:tcBorders>
          </w:tcPr>
          <w:p w14:paraId="0769D2B1" w14:textId="77777777" w:rsidR="00BC309D" w:rsidRPr="00FB0D93" w:rsidRDefault="00BC309D" w:rsidP="006318F1">
            <w:pPr>
              <w:rPr>
                <w:lang w:val="fr-BE"/>
              </w:rPr>
            </w:pPr>
          </w:p>
        </w:tc>
        <w:tc>
          <w:tcPr>
            <w:tcW w:w="2303" w:type="dxa"/>
            <w:tcBorders>
              <w:top w:val="nil"/>
              <w:left w:val="nil"/>
              <w:bottom w:val="nil"/>
              <w:right w:val="nil"/>
            </w:tcBorders>
          </w:tcPr>
          <w:p w14:paraId="0769D2B2" w14:textId="77777777" w:rsidR="00BC309D" w:rsidRPr="00FB0D93" w:rsidRDefault="00BC309D" w:rsidP="006318F1">
            <w:pPr>
              <w:rPr>
                <w:lang w:val="fr-BE"/>
              </w:rPr>
            </w:pPr>
          </w:p>
        </w:tc>
      </w:tr>
      <w:tr w:rsidR="00FB0D93" w:rsidRPr="00FB0D93" w14:paraId="0769D2B7" w14:textId="77777777" w:rsidTr="006318F1">
        <w:tc>
          <w:tcPr>
            <w:tcW w:w="2302" w:type="dxa"/>
            <w:tcBorders>
              <w:top w:val="nil"/>
              <w:left w:val="nil"/>
              <w:bottom w:val="nil"/>
              <w:right w:val="nil"/>
            </w:tcBorders>
          </w:tcPr>
          <w:p w14:paraId="0769D2B4" w14:textId="77777777" w:rsidR="00BC309D" w:rsidRPr="00FB0D93" w:rsidRDefault="00BC309D" w:rsidP="006318F1">
            <w:pPr>
              <w:rPr>
                <w:lang w:val="fr-BE"/>
              </w:rPr>
            </w:pPr>
            <w:r w:rsidRPr="00FB0D93">
              <w:rPr>
                <w:lang w:val="fr-BE"/>
              </w:rPr>
              <w:t>19</w:t>
            </w:r>
          </w:p>
        </w:tc>
        <w:tc>
          <w:tcPr>
            <w:tcW w:w="4605" w:type="dxa"/>
            <w:tcBorders>
              <w:top w:val="nil"/>
              <w:left w:val="nil"/>
              <w:bottom w:val="nil"/>
              <w:right w:val="nil"/>
            </w:tcBorders>
          </w:tcPr>
          <w:p w14:paraId="0769D2B5" w14:textId="77777777" w:rsidR="00BC309D" w:rsidRPr="00FB0D93" w:rsidRDefault="00BC309D" w:rsidP="006318F1">
            <w:pPr>
              <w:rPr>
                <w:lang w:val="fr-BE"/>
              </w:rPr>
            </w:pPr>
          </w:p>
        </w:tc>
        <w:tc>
          <w:tcPr>
            <w:tcW w:w="2303" w:type="dxa"/>
            <w:tcBorders>
              <w:top w:val="nil"/>
              <w:left w:val="nil"/>
              <w:bottom w:val="nil"/>
              <w:right w:val="nil"/>
            </w:tcBorders>
          </w:tcPr>
          <w:p w14:paraId="0769D2B6" w14:textId="77777777" w:rsidR="00BC309D" w:rsidRPr="00FB0D93" w:rsidRDefault="00BC309D" w:rsidP="006318F1">
            <w:pPr>
              <w:rPr>
                <w:lang w:val="fr-BE"/>
              </w:rPr>
            </w:pPr>
          </w:p>
        </w:tc>
      </w:tr>
      <w:tr w:rsidR="00FB0D93" w:rsidRPr="00FB0D93" w14:paraId="0769D2BB" w14:textId="77777777" w:rsidTr="006318F1">
        <w:tc>
          <w:tcPr>
            <w:tcW w:w="2302" w:type="dxa"/>
            <w:tcBorders>
              <w:top w:val="nil"/>
              <w:left w:val="nil"/>
              <w:bottom w:val="nil"/>
              <w:right w:val="nil"/>
            </w:tcBorders>
          </w:tcPr>
          <w:p w14:paraId="0769D2B8" w14:textId="77777777" w:rsidR="00BC309D" w:rsidRPr="00FB0D93" w:rsidRDefault="00BC309D" w:rsidP="006318F1">
            <w:pPr>
              <w:rPr>
                <w:lang w:val="fr-BE"/>
              </w:rPr>
            </w:pPr>
            <w:r w:rsidRPr="00FB0D93">
              <w:rPr>
                <w:lang w:val="fr-BE"/>
              </w:rPr>
              <w:t>20</w:t>
            </w:r>
          </w:p>
        </w:tc>
        <w:tc>
          <w:tcPr>
            <w:tcW w:w="4605" w:type="dxa"/>
            <w:tcBorders>
              <w:top w:val="nil"/>
              <w:left w:val="nil"/>
              <w:bottom w:val="nil"/>
              <w:right w:val="nil"/>
            </w:tcBorders>
          </w:tcPr>
          <w:p w14:paraId="0769D2B9" w14:textId="77777777" w:rsidR="00BC309D" w:rsidRPr="00FB0D93" w:rsidRDefault="00BC309D" w:rsidP="006318F1">
            <w:pPr>
              <w:rPr>
                <w:lang w:val="fr-BE"/>
              </w:rPr>
            </w:pPr>
          </w:p>
        </w:tc>
        <w:tc>
          <w:tcPr>
            <w:tcW w:w="2303" w:type="dxa"/>
            <w:tcBorders>
              <w:top w:val="nil"/>
              <w:left w:val="nil"/>
              <w:bottom w:val="nil"/>
              <w:right w:val="nil"/>
            </w:tcBorders>
          </w:tcPr>
          <w:p w14:paraId="0769D2BA" w14:textId="77777777" w:rsidR="00BC309D" w:rsidRPr="00FB0D93" w:rsidRDefault="00BC309D" w:rsidP="006318F1">
            <w:pPr>
              <w:rPr>
                <w:lang w:val="fr-BE"/>
              </w:rPr>
            </w:pPr>
          </w:p>
        </w:tc>
      </w:tr>
      <w:tr w:rsidR="00FB0D93" w:rsidRPr="00FB0D93" w14:paraId="0769D2BF" w14:textId="77777777" w:rsidTr="006318F1">
        <w:tc>
          <w:tcPr>
            <w:tcW w:w="2302" w:type="dxa"/>
            <w:tcBorders>
              <w:top w:val="nil"/>
              <w:left w:val="nil"/>
              <w:bottom w:val="nil"/>
              <w:right w:val="nil"/>
            </w:tcBorders>
          </w:tcPr>
          <w:p w14:paraId="0769D2BC" w14:textId="77777777" w:rsidR="00BC309D" w:rsidRPr="00FB0D93" w:rsidRDefault="00BC309D" w:rsidP="006318F1">
            <w:pPr>
              <w:rPr>
                <w:lang w:val="fr-BE"/>
              </w:rPr>
            </w:pPr>
            <w:r w:rsidRPr="00FB0D93">
              <w:rPr>
                <w:lang w:val="fr-BE"/>
              </w:rPr>
              <w:t>21</w:t>
            </w:r>
          </w:p>
        </w:tc>
        <w:tc>
          <w:tcPr>
            <w:tcW w:w="4605" w:type="dxa"/>
            <w:tcBorders>
              <w:top w:val="nil"/>
              <w:left w:val="nil"/>
              <w:bottom w:val="nil"/>
              <w:right w:val="nil"/>
            </w:tcBorders>
          </w:tcPr>
          <w:p w14:paraId="0769D2BD" w14:textId="77777777" w:rsidR="00BC309D" w:rsidRPr="00FB0D93" w:rsidRDefault="00BC309D" w:rsidP="006318F1">
            <w:pPr>
              <w:rPr>
                <w:lang w:val="fr-BE"/>
              </w:rPr>
            </w:pPr>
          </w:p>
        </w:tc>
        <w:tc>
          <w:tcPr>
            <w:tcW w:w="2303" w:type="dxa"/>
            <w:tcBorders>
              <w:top w:val="nil"/>
              <w:left w:val="nil"/>
              <w:bottom w:val="nil"/>
              <w:right w:val="nil"/>
            </w:tcBorders>
          </w:tcPr>
          <w:p w14:paraId="0769D2BE" w14:textId="77777777" w:rsidR="00BC309D" w:rsidRPr="00FB0D93" w:rsidRDefault="00BC309D" w:rsidP="006318F1">
            <w:pPr>
              <w:rPr>
                <w:lang w:val="fr-BE"/>
              </w:rPr>
            </w:pPr>
          </w:p>
        </w:tc>
      </w:tr>
      <w:tr w:rsidR="00FB0D93" w:rsidRPr="00FB0D93" w14:paraId="0769D2C3" w14:textId="77777777" w:rsidTr="006318F1">
        <w:tc>
          <w:tcPr>
            <w:tcW w:w="2302" w:type="dxa"/>
            <w:tcBorders>
              <w:top w:val="nil"/>
              <w:left w:val="nil"/>
              <w:bottom w:val="nil"/>
              <w:right w:val="nil"/>
            </w:tcBorders>
          </w:tcPr>
          <w:p w14:paraId="0769D2C0" w14:textId="77777777" w:rsidR="00BC309D" w:rsidRPr="00FB0D93" w:rsidRDefault="00BC309D" w:rsidP="006318F1">
            <w:pPr>
              <w:rPr>
                <w:lang w:val="fr-BE"/>
              </w:rPr>
            </w:pPr>
            <w:r w:rsidRPr="00FB0D93">
              <w:rPr>
                <w:lang w:val="fr-BE"/>
              </w:rPr>
              <w:t>22</w:t>
            </w:r>
          </w:p>
        </w:tc>
        <w:tc>
          <w:tcPr>
            <w:tcW w:w="4605" w:type="dxa"/>
            <w:tcBorders>
              <w:top w:val="nil"/>
              <w:left w:val="nil"/>
              <w:bottom w:val="nil"/>
              <w:right w:val="nil"/>
            </w:tcBorders>
          </w:tcPr>
          <w:p w14:paraId="0769D2C1" w14:textId="77777777" w:rsidR="00BC309D" w:rsidRPr="00FB0D93" w:rsidRDefault="00BC309D" w:rsidP="006318F1">
            <w:pPr>
              <w:rPr>
                <w:lang w:val="fr-BE"/>
              </w:rPr>
            </w:pPr>
          </w:p>
        </w:tc>
        <w:tc>
          <w:tcPr>
            <w:tcW w:w="2303" w:type="dxa"/>
            <w:tcBorders>
              <w:top w:val="nil"/>
              <w:left w:val="nil"/>
              <w:bottom w:val="nil"/>
              <w:right w:val="nil"/>
            </w:tcBorders>
          </w:tcPr>
          <w:p w14:paraId="0769D2C2" w14:textId="77777777" w:rsidR="00BC309D" w:rsidRPr="00FB0D93" w:rsidRDefault="00BC309D" w:rsidP="006318F1">
            <w:pPr>
              <w:rPr>
                <w:lang w:val="fr-BE"/>
              </w:rPr>
            </w:pPr>
          </w:p>
        </w:tc>
      </w:tr>
      <w:tr w:rsidR="00FB0D93" w:rsidRPr="00FB0D93" w14:paraId="0769D2C7" w14:textId="77777777" w:rsidTr="006318F1">
        <w:tc>
          <w:tcPr>
            <w:tcW w:w="2302" w:type="dxa"/>
            <w:tcBorders>
              <w:top w:val="nil"/>
              <w:left w:val="nil"/>
              <w:bottom w:val="nil"/>
              <w:right w:val="nil"/>
            </w:tcBorders>
          </w:tcPr>
          <w:p w14:paraId="0769D2C4" w14:textId="77777777" w:rsidR="00BC309D" w:rsidRPr="00FB0D93" w:rsidRDefault="00BC309D" w:rsidP="006318F1">
            <w:pPr>
              <w:rPr>
                <w:lang w:val="fr-BE"/>
              </w:rPr>
            </w:pPr>
            <w:r w:rsidRPr="00FB0D93">
              <w:rPr>
                <w:lang w:val="fr-BE"/>
              </w:rPr>
              <w:t>23</w:t>
            </w:r>
          </w:p>
        </w:tc>
        <w:tc>
          <w:tcPr>
            <w:tcW w:w="4605" w:type="dxa"/>
            <w:tcBorders>
              <w:top w:val="nil"/>
              <w:left w:val="nil"/>
              <w:bottom w:val="nil"/>
              <w:right w:val="nil"/>
            </w:tcBorders>
          </w:tcPr>
          <w:p w14:paraId="0769D2C5" w14:textId="77777777" w:rsidR="00BC309D" w:rsidRPr="00FB0D93" w:rsidRDefault="00BC309D" w:rsidP="006318F1">
            <w:pPr>
              <w:rPr>
                <w:lang w:val="fr-BE"/>
              </w:rPr>
            </w:pPr>
          </w:p>
        </w:tc>
        <w:tc>
          <w:tcPr>
            <w:tcW w:w="2303" w:type="dxa"/>
            <w:tcBorders>
              <w:top w:val="nil"/>
              <w:left w:val="nil"/>
              <w:bottom w:val="nil"/>
              <w:right w:val="nil"/>
            </w:tcBorders>
          </w:tcPr>
          <w:p w14:paraId="0769D2C6" w14:textId="77777777" w:rsidR="00BC309D" w:rsidRPr="00FB0D93" w:rsidRDefault="00BC309D" w:rsidP="006318F1">
            <w:pPr>
              <w:rPr>
                <w:lang w:val="fr-BE"/>
              </w:rPr>
            </w:pPr>
          </w:p>
        </w:tc>
      </w:tr>
      <w:tr w:rsidR="00FB0D93" w:rsidRPr="00FB0D93" w14:paraId="0769D2CB" w14:textId="77777777" w:rsidTr="006318F1">
        <w:tc>
          <w:tcPr>
            <w:tcW w:w="2302" w:type="dxa"/>
            <w:tcBorders>
              <w:top w:val="nil"/>
              <w:left w:val="nil"/>
              <w:bottom w:val="nil"/>
              <w:right w:val="nil"/>
            </w:tcBorders>
          </w:tcPr>
          <w:p w14:paraId="0769D2C8" w14:textId="77777777" w:rsidR="00BC309D" w:rsidRPr="00FB0D93" w:rsidRDefault="00BC309D" w:rsidP="006318F1">
            <w:pPr>
              <w:rPr>
                <w:lang w:val="fr-BE"/>
              </w:rPr>
            </w:pPr>
            <w:r w:rsidRPr="00FB0D93">
              <w:rPr>
                <w:lang w:val="fr-BE"/>
              </w:rPr>
              <w:t>24</w:t>
            </w:r>
          </w:p>
        </w:tc>
        <w:tc>
          <w:tcPr>
            <w:tcW w:w="4605" w:type="dxa"/>
            <w:tcBorders>
              <w:top w:val="nil"/>
              <w:left w:val="nil"/>
              <w:bottom w:val="nil"/>
              <w:right w:val="nil"/>
            </w:tcBorders>
          </w:tcPr>
          <w:p w14:paraId="0769D2C9" w14:textId="77777777" w:rsidR="00BC309D" w:rsidRPr="00FB0D93" w:rsidRDefault="00BC309D" w:rsidP="006318F1">
            <w:pPr>
              <w:rPr>
                <w:lang w:val="fr-BE"/>
              </w:rPr>
            </w:pPr>
          </w:p>
        </w:tc>
        <w:tc>
          <w:tcPr>
            <w:tcW w:w="2303" w:type="dxa"/>
            <w:tcBorders>
              <w:top w:val="nil"/>
              <w:left w:val="nil"/>
              <w:bottom w:val="nil"/>
              <w:right w:val="nil"/>
            </w:tcBorders>
          </w:tcPr>
          <w:p w14:paraId="0769D2CA" w14:textId="77777777" w:rsidR="00BC309D" w:rsidRPr="00FB0D93" w:rsidRDefault="00BC309D" w:rsidP="006318F1">
            <w:pPr>
              <w:rPr>
                <w:lang w:val="fr-BE"/>
              </w:rPr>
            </w:pPr>
          </w:p>
        </w:tc>
      </w:tr>
      <w:tr w:rsidR="00FB0D93" w:rsidRPr="00FB0D93" w14:paraId="0769D2CF" w14:textId="77777777" w:rsidTr="006318F1">
        <w:tc>
          <w:tcPr>
            <w:tcW w:w="2302" w:type="dxa"/>
            <w:tcBorders>
              <w:top w:val="nil"/>
              <w:left w:val="nil"/>
              <w:right w:val="nil"/>
            </w:tcBorders>
          </w:tcPr>
          <w:p w14:paraId="0769D2CC" w14:textId="77777777" w:rsidR="00BC309D" w:rsidRPr="00FB0D93" w:rsidRDefault="00BC309D" w:rsidP="006318F1">
            <w:pPr>
              <w:rPr>
                <w:lang w:val="fr-BE"/>
              </w:rPr>
            </w:pPr>
            <w:r w:rsidRPr="00FB0D93">
              <w:rPr>
                <w:lang w:val="fr-BE"/>
              </w:rPr>
              <w:t>25</w:t>
            </w:r>
          </w:p>
        </w:tc>
        <w:tc>
          <w:tcPr>
            <w:tcW w:w="4605" w:type="dxa"/>
            <w:tcBorders>
              <w:top w:val="nil"/>
              <w:left w:val="nil"/>
              <w:right w:val="nil"/>
            </w:tcBorders>
          </w:tcPr>
          <w:p w14:paraId="0769D2CD" w14:textId="77777777" w:rsidR="00BC309D" w:rsidRPr="00FB0D93" w:rsidRDefault="00BC309D" w:rsidP="006318F1">
            <w:pPr>
              <w:rPr>
                <w:lang w:val="fr-BE"/>
              </w:rPr>
            </w:pPr>
          </w:p>
        </w:tc>
        <w:tc>
          <w:tcPr>
            <w:tcW w:w="2303" w:type="dxa"/>
            <w:tcBorders>
              <w:top w:val="nil"/>
              <w:left w:val="nil"/>
              <w:right w:val="nil"/>
            </w:tcBorders>
          </w:tcPr>
          <w:p w14:paraId="0769D2CE" w14:textId="77777777" w:rsidR="00BC309D" w:rsidRPr="00FB0D93" w:rsidRDefault="00BC309D" w:rsidP="006318F1">
            <w:pPr>
              <w:rPr>
                <w:lang w:val="fr-BE"/>
              </w:rPr>
            </w:pPr>
          </w:p>
        </w:tc>
      </w:tr>
      <w:tr w:rsidR="00BC309D" w:rsidRPr="00FB0D93" w14:paraId="0769D2D3" w14:textId="77777777" w:rsidTr="006318F1">
        <w:tc>
          <w:tcPr>
            <w:tcW w:w="2302" w:type="dxa"/>
            <w:tcBorders>
              <w:left w:val="nil"/>
              <w:right w:val="nil"/>
            </w:tcBorders>
          </w:tcPr>
          <w:p w14:paraId="0769D2D0" w14:textId="77777777" w:rsidR="00BC309D" w:rsidRPr="00FB0D93" w:rsidRDefault="00BC309D" w:rsidP="006318F1">
            <w:pPr>
              <w:rPr>
                <w:lang w:val="fr-BE"/>
              </w:rPr>
            </w:pPr>
            <w:r w:rsidRPr="00FB0D93">
              <w:rPr>
                <w:lang w:val="fr-BE"/>
              </w:rPr>
              <w:t>TOTAL</w:t>
            </w:r>
          </w:p>
        </w:tc>
        <w:tc>
          <w:tcPr>
            <w:tcW w:w="4605" w:type="dxa"/>
            <w:tcBorders>
              <w:left w:val="nil"/>
              <w:right w:val="nil"/>
            </w:tcBorders>
          </w:tcPr>
          <w:p w14:paraId="0769D2D1" w14:textId="77777777" w:rsidR="00BC309D" w:rsidRPr="00FB0D93" w:rsidRDefault="00BC309D" w:rsidP="005B6F53">
            <w:pPr>
              <w:ind w:firstLine="709"/>
              <w:rPr>
                <w:lang w:val="fr-BE"/>
              </w:rPr>
            </w:pPr>
          </w:p>
        </w:tc>
        <w:tc>
          <w:tcPr>
            <w:tcW w:w="2303" w:type="dxa"/>
            <w:tcBorders>
              <w:left w:val="nil"/>
              <w:right w:val="nil"/>
            </w:tcBorders>
          </w:tcPr>
          <w:p w14:paraId="0769D2D2" w14:textId="77777777" w:rsidR="00BC309D" w:rsidRPr="00FB0D93" w:rsidRDefault="00BC309D" w:rsidP="006318F1">
            <w:pPr>
              <w:rPr>
                <w:lang w:val="fr-BE"/>
              </w:rPr>
            </w:pPr>
          </w:p>
        </w:tc>
      </w:tr>
    </w:tbl>
    <w:p w14:paraId="0769D2D4" w14:textId="77777777" w:rsidR="00BC309D" w:rsidRPr="00FB0D93" w:rsidRDefault="00BC309D" w:rsidP="00BC309D">
      <w:pPr>
        <w:rPr>
          <w:lang w:val="fr-BE"/>
        </w:rPr>
      </w:pPr>
    </w:p>
    <w:p w14:paraId="0769D2D5" w14:textId="7A87A4A6" w:rsidR="00BC309D" w:rsidRPr="00FB0D93" w:rsidRDefault="00BC309D" w:rsidP="004D0839">
      <w:pPr>
        <w:pStyle w:val="Titre1"/>
        <w:numPr>
          <w:ilvl w:val="0"/>
          <w:numId w:val="16"/>
        </w:numPr>
        <w:ind w:left="426" w:hanging="426"/>
        <w:rPr>
          <w:lang w:val="fr-BE"/>
        </w:rPr>
      </w:pPr>
      <w:bookmarkStart w:id="4" w:name="_Toc20297998"/>
      <w:r w:rsidRPr="00FB0D93">
        <w:rPr>
          <w:lang w:val="fr-BE"/>
        </w:rPr>
        <w:lastRenderedPageBreak/>
        <w:t xml:space="preserve">Délégations de pouvoirs ou de </w:t>
      </w:r>
      <w:r w:rsidR="002A107E" w:rsidRPr="00FB0D93">
        <w:rPr>
          <w:lang w:val="fr-BE"/>
        </w:rPr>
        <w:t>gestion/d’administration des</w:t>
      </w:r>
      <w:r w:rsidRPr="00FB0D93">
        <w:rPr>
          <w:lang w:val="fr-BE"/>
        </w:rPr>
        <w:t xml:space="preserve"> Communes à l'</w:t>
      </w:r>
      <w:r w:rsidR="005B6F53" w:rsidRPr="00FB0D93">
        <w:rPr>
          <w:lang w:val="fr-BE"/>
        </w:rPr>
        <w:t>intercommunale</w:t>
      </w:r>
      <w:r w:rsidR="009170C7" w:rsidRPr="00FB0D93">
        <w:rPr>
          <w:lang w:val="fr-BE"/>
        </w:rPr>
        <w:t xml:space="preserve"> : les </w:t>
      </w:r>
      <w:r w:rsidRPr="00FB0D93">
        <w:rPr>
          <w:lang w:val="fr-BE"/>
        </w:rPr>
        <w:t xml:space="preserve">conventions avec les communes </w:t>
      </w:r>
      <w:r w:rsidR="009170C7" w:rsidRPr="00FB0D93">
        <w:rPr>
          <w:lang w:val="fr-BE"/>
        </w:rPr>
        <w:t>et/</w:t>
      </w:r>
      <w:r w:rsidRPr="00FB0D93">
        <w:rPr>
          <w:lang w:val="fr-BE"/>
        </w:rPr>
        <w:t>ou statuts de l’INTERCOMMUNALE</w:t>
      </w:r>
      <w:r w:rsidR="001A238B" w:rsidRPr="00FB0D93">
        <w:rPr>
          <w:lang w:val="fr-BE"/>
        </w:rPr>
        <w:t xml:space="preserve"> </w:t>
      </w:r>
      <w:r w:rsidRPr="00FB0D93">
        <w:rPr>
          <w:sz w:val="34"/>
          <w:szCs w:val="34"/>
          <w:bdr w:val="single" w:sz="4" w:space="0" w:color="000000"/>
          <w:lang w:val="fr-BE"/>
        </w:rPr>
        <w:t>A</w:t>
      </w:r>
      <w:bookmarkEnd w:id="4"/>
    </w:p>
    <w:p w14:paraId="0769D2D6" w14:textId="77777777" w:rsidR="00DC6057" w:rsidRPr="00FB0D93" w:rsidRDefault="00DC6057" w:rsidP="00351368">
      <w:pPr>
        <w:rPr>
          <w:lang w:val="fr-BE"/>
        </w:rPr>
      </w:pPr>
    </w:p>
    <w:p w14:paraId="0769D2D7" w14:textId="2D822697" w:rsidR="00D46DDB" w:rsidRPr="00FB0D93" w:rsidRDefault="00BC309D" w:rsidP="001F41C0">
      <w:pPr>
        <w:pStyle w:val="Titre1"/>
        <w:numPr>
          <w:ilvl w:val="0"/>
          <w:numId w:val="16"/>
        </w:numPr>
        <w:ind w:left="426" w:hanging="426"/>
        <w:rPr>
          <w:lang w:val="fr-BE"/>
        </w:rPr>
      </w:pPr>
      <w:bookmarkStart w:id="5" w:name="_Toc20297999"/>
      <w:r w:rsidRPr="00FB0D93">
        <w:rPr>
          <w:lang w:val="fr-BE"/>
        </w:rPr>
        <w:lastRenderedPageBreak/>
        <w:t xml:space="preserve">Scénario de </w:t>
      </w:r>
      <w:r w:rsidR="0001502C" w:rsidRPr="00FB0D93">
        <w:rPr>
          <w:lang w:val="fr-BE"/>
        </w:rPr>
        <w:t>collecte</w:t>
      </w:r>
      <w:r w:rsidRPr="00FB0D93">
        <w:rPr>
          <w:lang w:val="fr-BE"/>
        </w:rPr>
        <w:t xml:space="preserve"> </w:t>
      </w:r>
      <w:r w:rsidRPr="00FB0D93">
        <w:rPr>
          <w:sz w:val="34"/>
          <w:szCs w:val="34"/>
          <w:bdr w:val="single" w:sz="4" w:space="0" w:color="000000"/>
          <w:lang w:val="fr-BE"/>
        </w:rPr>
        <w:t>A</w:t>
      </w:r>
      <w:bookmarkEnd w:id="5"/>
    </w:p>
    <w:p w14:paraId="0769D2D8" w14:textId="6D3FFF71" w:rsidR="00C44BC1" w:rsidRPr="00FB0D93" w:rsidRDefault="00C44BC1" w:rsidP="00C44BC1">
      <w:pPr>
        <w:rPr>
          <w:lang w:val="fr-BE"/>
        </w:rPr>
      </w:pPr>
      <w:r w:rsidRPr="00FB0D93">
        <w:rPr>
          <w:lang w:val="fr-BE"/>
        </w:rPr>
        <w:t xml:space="preserve">Dans cette annexe est décrit le scénario de collecte sur base duquel la Collecte sélective sera organisée </w:t>
      </w:r>
      <w:r w:rsidR="00755FB4" w:rsidRPr="00FB0D93">
        <w:rPr>
          <w:lang w:val="fr-BE"/>
        </w:rPr>
        <w:t>au démarrage</w:t>
      </w:r>
      <w:r w:rsidRPr="00FB0D93">
        <w:rPr>
          <w:lang w:val="fr-BE"/>
        </w:rPr>
        <w:t xml:space="preserve"> de la présente Convention. </w:t>
      </w:r>
      <w:r w:rsidR="00456266" w:rsidRPr="00FB0D93">
        <w:rPr>
          <w:lang w:val="fr-BE"/>
        </w:rPr>
        <w:t xml:space="preserve">Ce scénario peut être modifié </w:t>
      </w:r>
      <w:r w:rsidR="001712DE" w:rsidRPr="00FB0D93">
        <w:rPr>
          <w:lang w:val="fr-BE"/>
        </w:rPr>
        <w:t>au</w:t>
      </w:r>
      <w:r w:rsidR="00456266" w:rsidRPr="00FB0D93">
        <w:rPr>
          <w:lang w:val="fr-BE"/>
        </w:rPr>
        <w:t xml:space="preserve"> cours de</w:t>
      </w:r>
      <w:r w:rsidR="00A05E92" w:rsidRPr="00FB0D93">
        <w:rPr>
          <w:lang w:val="fr-BE"/>
        </w:rPr>
        <w:t xml:space="preserve"> la</w:t>
      </w:r>
      <w:r w:rsidR="00456266" w:rsidRPr="00FB0D93">
        <w:rPr>
          <w:lang w:val="fr-BE"/>
        </w:rPr>
        <w:t xml:space="preserve"> </w:t>
      </w:r>
      <w:r w:rsidR="00A05E92" w:rsidRPr="00FB0D93">
        <w:rPr>
          <w:lang w:val="fr-BE"/>
        </w:rPr>
        <w:t>C</w:t>
      </w:r>
      <w:r w:rsidR="00456266" w:rsidRPr="00FB0D93">
        <w:rPr>
          <w:lang w:val="fr-BE"/>
        </w:rPr>
        <w:t xml:space="preserve">onvention uniquement moyennant l’accord </w:t>
      </w:r>
      <w:r w:rsidR="00A05E92" w:rsidRPr="00FB0D93">
        <w:rPr>
          <w:lang w:val="fr-BE"/>
        </w:rPr>
        <w:t xml:space="preserve">écrit et préalable </w:t>
      </w:r>
      <w:r w:rsidR="00456266" w:rsidRPr="00FB0D93">
        <w:rPr>
          <w:lang w:val="fr-BE"/>
        </w:rPr>
        <w:t xml:space="preserve">de l’INTERCOMMUNALE et de Fost Plus. </w:t>
      </w:r>
      <w:r w:rsidRPr="00FB0D93">
        <w:rPr>
          <w:lang w:val="fr-BE"/>
        </w:rPr>
        <w:t xml:space="preserve">Le scénario </w:t>
      </w:r>
      <w:r w:rsidR="00A22C30" w:rsidRPr="00FB0D93">
        <w:rPr>
          <w:lang w:val="fr-BE"/>
        </w:rPr>
        <w:t xml:space="preserve">devra être conforme </w:t>
      </w:r>
      <w:r w:rsidR="00D81FBB" w:rsidRPr="00FB0D93">
        <w:rPr>
          <w:lang w:val="fr-BE"/>
        </w:rPr>
        <w:t xml:space="preserve">aux </w:t>
      </w:r>
      <w:r w:rsidR="00A22C30" w:rsidRPr="00FB0D93">
        <w:rPr>
          <w:lang w:val="fr-BE"/>
        </w:rPr>
        <w:t>article</w:t>
      </w:r>
      <w:r w:rsidR="00D81FBB" w:rsidRPr="00FB0D93">
        <w:rPr>
          <w:lang w:val="fr-BE"/>
        </w:rPr>
        <w:t xml:space="preserve">s </w:t>
      </w:r>
      <w:r w:rsidRPr="00FB0D93">
        <w:rPr>
          <w:lang w:val="fr-BE"/>
        </w:rPr>
        <w:t>6</w:t>
      </w:r>
      <w:r w:rsidR="00D81FBB" w:rsidRPr="00FB0D93">
        <w:rPr>
          <w:lang w:val="fr-BE"/>
        </w:rPr>
        <w:t xml:space="preserve"> et 7</w:t>
      </w:r>
      <w:r w:rsidRPr="00FB0D93">
        <w:rPr>
          <w:lang w:val="fr-BE"/>
        </w:rPr>
        <w:t xml:space="preserve"> de l’Agrément, ainsi qu’aux plans régionaux des déchets.</w:t>
      </w:r>
    </w:p>
    <w:p w14:paraId="0769D2D9" w14:textId="77777777" w:rsidR="00BC309D" w:rsidRPr="00FB0D93" w:rsidRDefault="006A7FF0" w:rsidP="00BC309D">
      <w:pPr>
        <w:rPr>
          <w:lang w:val="fr-BE"/>
        </w:rPr>
      </w:pPr>
      <w:r w:rsidRPr="00FB0D93">
        <w:rPr>
          <w:lang w:val="fr-BE"/>
        </w:rPr>
        <w:t>&lt;à compléter&gt;</w:t>
      </w:r>
    </w:p>
    <w:p w14:paraId="0769D2DA" w14:textId="4B378271" w:rsidR="00BC309D" w:rsidRPr="00FB0D93" w:rsidRDefault="00BC309D" w:rsidP="004D0839">
      <w:pPr>
        <w:pStyle w:val="Titre1"/>
        <w:numPr>
          <w:ilvl w:val="0"/>
          <w:numId w:val="14"/>
        </w:numPr>
        <w:tabs>
          <w:tab w:val="clear" w:pos="425"/>
          <w:tab w:val="num" w:pos="426"/>
        </w:tabs>
        <w:ind w:left="426" w:hanging="426"/>
        <w:contextualSpacing w:val="0"/>
        <w:rPr>
          <w:lang w:val="fr-BE"/>
        </w:rPr>
      </w:pPr>
      <w:bookmarkStart w:id="6" w:name="_Toc20298000"/>
      <w:r w:rsidRPr="00FB0D93">
        <w:rPr>
          <w:lang w:val="fr-BE"/>
        </w:rPr>
        <w:lastRenderedPageBreak/>
        <w:t xml:space="preserve">Financement de la </w:t>
      </w:r>
      <w:r w:rsidR="00A05E92" w:rsidRPr="00FB0D93">
        <w:rPr>
          <w:lang w:val="fr-BE"/>
        </w:rPr>
        <w:t>C</w:t>
      </w:r>
      <w:r w:rsidRPr="00FB0D93">
        <w:rPr>
          <w:lang w:val="fr-BE"/>
        </w:rPr>
        <w:t xml:space="preserve">ollecte </w:t>
      </w:r>
      <w:r w:rsidR="00A05E92" w:rsidRPr="00FB0D93">
        <w:rPr>
          <w:lang w:val="fr-BE"/>
        </w:rPr>
        <w:t>S</w:t>
      </w:r>
      <w:r w:rsidRPr="00FB0D93">
        <w:rPr>
          <w:lang w:val="fr-BE"/>
        </w:rPr>
        <w:t>é</w:t>
      </w:r>
      <w:r w:rsidR="00AB1D24" w:rsidRPr="00FB0D93">
        <w:rPr>
          <w:lang w:val="fr-BE"/>
        </w:rPr>
        <w:t xml:space="preserve">lective et du </w:t>
      </w:r>
      <w:r w:rsidR="00A05E92" w:rsidRPr="00FB0D93">
        <w:rPr>
          <w:lang w:val="fr-BE"/>
        </w:rPr>
        <w:t>T</w:t>
      </w:r>
      <w:r w:rsidR="00AB1D24" w:rsidRPr="00FB0D93">
        <w:rPr>
          <w:lang w:val="fr-BE"/>
        </w:rPr>
        <w:t>ri par Fost Plus</w:t>
      </w:r>
      <w:r w:rsidR="00456266" w:rsidRPr="00FB0D93">
        <w:rPr>
          <w:lang w:val="fr-BE"/>
        </w:rPr>
        <w:t xml:space="preserve"> des fractions Verre, Papier-Carton et PMC</w:t>
      </w:r>
      <w:r w:rsidRPr="00FB0D93">
        <w:rPr>
          <w:lang w:val="fr-BE"/>
        </w:rPr>
        <w:t xml:space="preserve"> </w:t>
      </w:r>
      <w:r w:rsidRPr="00FB0D93">
        <w:rPr>
          <w:sz w:val="34"/>
          <w:szCs w:val="34"/>
          <w:bdr w:val="single" w:sz="4" w:space="0" w:color="000000"/>
          <w:lang w:val="fr-BE"/>
        </w:rPr>
        <w:t>A</w:t>
      </w:r>
      <w:bookmarkEnd w:id="6"/>
    </w:p>
    <w:p w14:paraId="0769D2DB" w14:textId="77777777" w:rsidR="00BC309D" w:rsidRPr="00FB0D93" w:rsidRDefault="00BC309D" w:rsidP="001D0072">
      <w:pPr>
        <w:pStyle w:val="Titre2"/>
        <w:numPr>
          <w:ilvl w:val="1"/>
          <w:numId w:val="18"/>
        </w:numPr>
        <w:rPr>
          <w:lang w:val="fr-BE"/>
        </w:rPr>
      </w:pPr>
      <w:r w:rsidRPr="00FB0D93">
        <w:rPr>
          <w:lang w:val="fr-BE"/>
        </w:rPr>
        <w:t xml:space="preserve">Financement du coût réel et complet </w:t>
      </w:r>
    </w:p>
    <w:p w14:paraId="0769D2DC" w14:textId="00F5022A" w:rsidR="00BC309D" w:rsidRPr="00FB0D93" w:rsidRDefault="00BC309D" w:rsidP="00BC309D">
      <w:pPr>
        <w:rPr>
          <w:lang w:val="fr-BE"/>
        </w:rPr>
      </w:pPr>
      <w:r w:rsidRPr="00FB0D93">
        <w:rPr>
          <w:lang w:val="fr-BE"/>
        </w:rPr>
        <w:t>L</w:t>
      </w:r>
      <w:r w:rsidR="0076507E" w:rsidRPr="00FB0D93">
        <w:rPr>
          <w:lang w:val="fr-BE"/>
        </w:rPr>
        <w:t>a</w:t>
      </w:r>
      <w:r w:rsidRPr="00FB0D93">
        <w:rPr>
          <w:lang w:val="fr-BE"/>
        </w:rPr>
        <w:t xml:space="preserve"> prestation</w:t>
      </w:r>
      <w:r w:rsidR="0076507E" w:rsidRPr="00FB0D93">
        <w:rPr>
          <w:lang w:val="fr-BE"/>
        </w:rPr>
        <w:t xml:space="preserve"> de service</w:t>
      </w:r>
      <w:r w:rsidRPr="00FB0D93">
        <w:rPr>
          <w:lang w:val="fr-BE"/>
        </w:rPr>
        <w:t xml:space="preserve"> pour </w:t>
      </w:r>
      <w:r w:rsidR="0076507E" w:rsidRPr="00FB0D93">
        <w:rPr>
          <w:lang w:val="fr-BE"/>
        </w:rPr>
        <w:t>laquelle</w:t>
      </w:r>
      <w:r w:rsidRPr="00FB0D93">
        <w:rPr>
          <w:lang w:val="fr-BE"/>
        </w:rPr>
        <w:t xml:space="preserve"> Fost Plus paie le coût réel et complet </w:t>
      </w:r>
      <w:r w:rsidR="0076507E" w:rsidRPr="00FB0D93">
        <w:rPr>
          <w:lang w:val="fr-BE"/>
        </w:rPr>
        <w:t>est</w:t>
      </w:r>
      <w:r w:rsidRPr="00FB0D93">
        <w:rPr>
          <w:lang w:val="fr-BE"/>
        </w:rPr>
        <w:t xml:space="preserve"> décrite en détail dans les cahiers des charges repris à l’Annexe</w:t>
      </w:r>
      <w:r w:rsidR="00A22C30" w:rsidRPr="00FB0D93">
        <w:rPr>
          <w:lang w:val="fr-BE"/>
        </w:rPr>
        <w:t> </w:t>
      </w:r>
      <w:r w:rsidR="00905FA2" w:rsidRPr="00FB0D93">
        <w:rPr>
          <w:lang w:val="fr-BE"/>
        </w:rPr>
        <w:t>12.</w:t>
      </w:r>
      <w:r w:rsidRPr="00FB0D93">
        <w:rPr>
          <w:lang w:val="fr-BE"/>
        </w:rPr>
        <w:t xml:space="preserve"> Sans préjudice des dispositions de l’</w:t>
      </w:r>
      <w:r w:rsidR="0076507E" w:rsidRPr="00FB0D93">
        <w:rPr>
          <w:lang w:val="fr-BE"/>
        </w:rPr>
        <w:t>A</w:t>
      </w:r>
      <w:r w:rsidR="00A22C30" w:rsidRPr="00FB0D93">
        <w:rPr>
          <w:lang w:val="fr-BE"/>
        </w:rPr>
        <w:t>nnexe </w:t>
      </w:r>
      <w:r w:rsidRPr="00FB0D93">
        <w:rPr>
          <w:lang w:val="fr-BE"/>
        </w:rPr>
        <w:t>4, les prestations suivantes sont financées par Fost Plus :</w:t>
      </w:r>
    </w:p>
    <w:p w14:paraId="3E1E4D90" w14:textId="6DDC7822" w:rsidR="00602E74" w:rsidRPr="00FB0D93" w:rsidRDefault="00602E74" w:rsidP="00BC309D">
      <w:pPr>
        <w:rPr>
          <w:lang w:val="fr-BE"/>
        </w:rPr>
      </w:pPr>
    </w:p>
    <w:tbl>
      <w:tblPr>
        <w:tblW w:w="0" w:type="auto"/>
        <w:tblLayout w:type="fixed"/>
        <w:tblCellMar>
          <w:left w:w="120" w:type="dxa"/>
          <w:right w:w="120" w:type="dxa"/>
        </w:tblCellMar>
        <w:tblLook w:val="0000" w:firstRow="0" w:lastRow="0" w:firstColumn="0" w:lastColumn="0" w:noHBand="0" w:noVBand="0"/>
      </w:tblPr>
      <w:tblGrid>
        <w:gridCol w:w="1701"/>
        <w:gridCol w:w="1821"/>
        <w:gridCol w:w="1985"/>
        <w:gridCol w:w="3424"/>
        <w:gridCol w:w="120"/>
      </w:tblGrid>
      <w:tr w:rsidR="00FB0D93" w:rsidRPr="00FB0D93" w14:paraId="56035EEC" w14:textId="77777777" w:rsidTr="00514927">
        <w:trPr>
          <w:gridAfter w:val="1"/>
          <w:wAfter w:w="120" w:type="dxa"/>
        </w:trPr>
        <w:tc>
          <w:tcPr>
            <w:tcW w:w="1701" w:type="dxa"/>
            <w:tcBorders>
              <w:top w:val="single" w:sz="6" w:space="0" w:color="000000"/>
              <w:left w:val="single" w:sz="6" w:space="0" w:color="000000"/>
              <w:bottom w:val="single" w:sz="6" w:space="0" w:color="FFFFFF"/>
              <w:right w:val="single" w:sz="6" w:space="0" w:color="FFFFFF"/>
            </w:tcBorders>
          </w:tcPr>
          <w:p w14:paraId="5FFC5B63" w14:textId="77777777" w:rsidR="00602E74" w:rsidRPr="00FB0D93" w:rsidRDefault="00602E74" w:rsidP="00602E74">
            <w:pPr>
              <w:spacing w:line="19" w:lineRule="exact"/>
              <w:jc w:val="left"/>
              <w:rPr>
                <w:b/>
                <w:bCs w:val="0"/>
                <w:lang w:val="fr-BE"/>
              </w:rPr>
            </w:pPr>
          </w:p>
          <w:p w14:paraId="6F4AC9E4" w14:textId="77777777"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bCs w:val="0"/>
                <w:lang w:val="fr-BE"/>
              </w:rPr>
            </w:pPr>
            <w:r w:rsidRPr="00FB0D93">
              <w:rPr>
                <w:b/>
                <w:bCs w:val="0"/>
                <w:lang w:val="fr-BE"/>
              </w:rPr>
              <w:t>Type d’emballage</w:t>
            </w:r>
          </w:p>
        </w:tc>
        <w:tc>
          <w:tcPr>
            <w:tcW w:w="1821" w:type="dxa"/>
            <w:tcBorders>
              <w:top w:val="single" w:sz="6" w:space="0" w:color="000000"/>
              <w:left w:val="single" w:sz="6" w:space="0" w:color="000000"/>
              <w:bottom w:val="single" w:sz="6" w:space="0" w:color="FFFFFF"/>
              <w:right w:val="single" w:sz="6" w:space="0" w:color="FFFFFF"/>
            </w:tcBorders>
          </w:tcPr>
          <w:p w14:paraId="2330235F" w14:textId="77777777" w:rsidR="00602E74" w:rsidRPr="00FB0D93" w:rsidRDefault="00602E74" w:rsidP="00602E74">
            <w:pPr>
              <w:spacing w:line="19" w:lineRule="exact"/>
              <w:jc w:val="left"/>
              <w:rPr>
                <w:b/>
                <w:bCs w:val="0"/>
                <w:lang w:val="fr-BE"/>
              </w:rPr>
            </w:pPr>
          </w:p>
          <w:p w14:paraId="08C9AA70" w14:textId="77777777"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bCs w:val="0"/>
                <w:lang w:val="fr-BE"/>
              </w:rPr>
            </w:pPr>
            <w:r w:rsidRPr="00FB0D93">
              <w:rPr>
                <w:b/>
                <w:bCs w:val="0"/>
                <w:lang w:val="fr-BE"/>
              </w:rPr>
              <w:t>Porte-à-porte</w:t>
            </w:r>
          </w:p>
        </w:tc>
        <w:tc>
          <w:tcPr>
            <w:tcW w:w="1985" w:type="dxa"/>
            <w:tcBorders>
              <w:top w:val="single" w:sz="6" w:space="0" w:color="000000"/>
              <w:left w:val="single" w:sz="6" w:space="0" w:color="000000"/>
              <w:bottom w:val="single" w:sz="6" w:space="0" w:color="FFFFFF"/>
              <w:right w:val="single" w:sz="6" w:space="0" w:color="FFFFFF"/>
            </w:tcBorders>
          </w:tcPr>
          <w:p w14:paraId="3B9C43A2" w14:textId="77777777" w:rsidR="00602E74" w:rsidRPr="00FB0D93" w:rsidRDefault="00602E74" w:rsidP="00602E74">
            <w:pPr>
              <w:spacing w:line="19" w:lineRule="exact"/>
              <w:jc w:val="left"/>
              <w:rPr>
                <w:b/>
                <w:bCs w:val="0"/>
                <w:lang w:val="fr-BE"/>
              </w:rPr>
            </w:pPr>
          </w:p>
          <w:p w14:paraId="74DB797C" w14:textId="4AB97390"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bCs w:val="0"/>
                <w:lang w:val="fr-BE"/>
              </w:rPr>
            </w:pPr>
            <w:r w:rsidRPr="00FB0D93">
              <w:rPr>
                <w:b/>
                <w:bCs w:val="0"/>
                <w:lang w:val="fr-BE"/>
              </w:rPr>
              <w:t>Méthode d’apport</w:t>
            </w:r>
          </w:p>
        </w:tc>
        <w:tc>
          <w:tcPr>
            <w:tcW w:w="3424" w:type="dxa"/>
            <w:tcBorders>
              <w:top w:val="single" w:sz="6" w:space="0" w:color="000000"/>
              <w:left w:val="single" w:sz="6" w:space="0" w:color="000000"/>
              <w:bottom w:val="single" w:sz="6" w:space="0" w:color="FFFFFF"/>
              <w:right w:val="single" w:sz="6" w:space="0" w:color="000000"/>
            </w:tcBorders>
          </w:tcPr>
          <w:p w14:paraId="22D08FDF" w14:textId="77777777" w:rsidR="00602E74" w:rsidRPr="00FB0D93" w:rsidRDefault="00602E74" w:rsidP="00602E74">
            <w:pPr>
              <w:spacing w:line="19" w:lineRule="exact"/>
              <w:jc w:val="left"/>
              <w:rPr>
                <w:b/>
                <w:bCs w:val="0"/>
                <w:lang w:val="fr-BE"/>
              </w:rPr>
            </w:pPr>
          </w:p>
          <w:p w14:paraId="362C2139" w14:textId="77777777"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bCs w:val="0"/>
                <w:lang w:val="fr-BE"/>
              </w:rPr>
            </w:pPr>
            <w:r w:rsidRPr="00FB0D93">
              <w:rPr>
                <w:b/>
                <w:bCs w:val="0"/>
                <w:lang w:val="fr-BE"/>
              </w:rPr>
              <w:t>Prestations – financement</w:t>
            </w:r>
          </w:p>
        </w:tc>
      </w:tr>
      <w:tr w:rsidR="00FB0D93" w:rsidRPr="0086132C" w14:paraId="0CF761D6" w14:textId="77777777" w:rsidTr="002E7580">
        <w:trPr>
          <w:gridAfter w:val="1"/>
          <w:wAfter w:w="120" w:type="dxa"/>
        </w:trPr>
        <w:tc>
          <w:tcPr>
            <w:tcW w:w="1701" w:type="dxa"/>
            <w:tcBorders>
              <w:top w:val="single" w:sz="6" w:space="0" w:color="000000"/>
              <w:left w:val="single" w:sz="6" w:space="0" w:color="000000"/>
              <w:bottom w:val="single" w:sz="6" w:space="0" w:color="000000"/>
              <w:right w:val="single" w:sz="6" w:space="0" w:color="FFFFFF"/>
            </w:tcBorders>
          </w:tcPr>
          <w:p w14:paraId="5A5D6E0E" w14:textId="77777777" w:rsidR="00602E74" w:rsidRPr="00FB0D93" w:rsidRDefault="00602E74" w:rsidP="00602E74">
            <w:pPr>
              <w:spacing w:line="19" w:lineRule="exact"/>
              <w:jc w:val="left"/>
              <w:rPr>
                <w:lang w:val="fr-BE"/>
              </w:rPr>
            </w:pPr>
          </w:p>
          <w:p w14:paraId="2B688C3D" w14:textId="6F0629E4"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bCs w:val="0"/>
                <w:lang w:val="fr-BE"/>
              </w:rPr>
              <w:t>Verre</w:t>
            </w:r>
          </w:p>
          <w:p w14:paraId="6D4CEDE3" w14:textId="5A82052A"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Bouteilles et bocaux</w:t>
            </w:r>
          </w:p>
          <w:p w14:paraId="622CBD94" w14:textId="490D077B"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Verre incolore et coloré</w:t>
            </w:r>
            <w:r w:rsidR="005B6F53" w:rsidRPr="00FB0D93">
              <w:rPr>
                <w:lang w:val="fr-BE"/>
              </w:rPr>
              <w:t xml:space="preserve"> </w:t>
            </w:r>
            <w:r w:rsidRPr="00FB0D93">
              <w:rPr>
                <w:lang w:val="fr-BE"/>
              </w:rPr>
              <w:t>séparé</w:t>
            </w:r>
          </w:p>
          <w:p w14:paraId="6971D28C" w14:textId="77777777"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p>
        </w:tc>
        <w:tc>
          <w:tcPr>
            <w:tcW w:w="1821" w:type="dxa"/>
            <w:tcBorders>
              <w:top w:val="single" w:sz="6" w:space="0" w:color="000000"/>
              <w:left w:val="single" w:sz="6" w:space="0" w:color="000000"/>
              <w:bottom w:val="single" w:sz="6" w:space="0" w:color="000000"/>
              <w:right w:val="single" w:sz="6" w:space="0" w:color="FFFFFF"/>
            </w:tcBorders>
          </w:tcPr>
          <w:p w14:paraId="4EA72165" w14:textId="77777777" w:rsidR="00602E74" w:rsidRPr="00FB0D93" w:rsidRDefault="00602E74" w:rsidP="00602E74">
            <w:pPr>
              <w:spacing w:line="19" w:lineRule="exact"/>
              <w:jc w:val="left"/>
              <w:rPr>
                <w:lang w:val="fr-BE"/>
              </w:rPr>
            </w:pPr>
          </w:p>
          <w:p w14:paraId="7CB9060A" w14:textId="77777777"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p>
        </w:tc>
        <w:tc>
          <w:tcPr>
            <w:tcW w:w="1985" w:type="dxa"/>
            <w:tcBorders>
              <w:top w:val="single" w:sz="6" w:space="0" w:color="000000"/>
              <w:left w:val="single" w:sz="6" w:space="0" w:color="000000"/>
              <w:bottom w:val="single" w:sz="6" w:space="0" w:color="000000"/>
              <w:right w:val="single" w:sz="6" w:space="0" w:color="FFFFFF"/>
            </w:tcBorders>
          </w:tcPr>
          <w:p w14:paraId="6129B27B" w14:textId="77777777" w:rsidR="00602E74" w:rsidRPr="00FB0D93" w:rsidRDefault="00602E74" w:rsidP="00602E74">
            <w:pPr>
              <w:spacing w:line="19" w:lineRule="exact"/>
              <w:jc w:val="left"/>
              <w:rPr>
                <w:lang w:val="fr-BE"/>
              </w:rPr>
            </w:pPr>
          </w:p>
          <w:p w14:paraId="17B0F479" w14:textId="430D26E0" w:rsidR="00602E74" w:rsidRPr="00FB0D93" w:rsidRDefault="00417723"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Sites de b</w:t>
            </w:r>
            <w:r w:rsidR="00602E74" w:rsidRPr="00FB0D93">
              <w:rPr>
                <w:lang w:val="fr-BE"/>
              </w:rPr>
              <w:t xml:space="preserve">ulles à </w:t>
            </w:r>
            <w:r w:rsidR="00602E74" w:rsidRPr="00F641C1">
              <w:rPr>
                <w:lang w:val="fr-BE"/>
              </w:rPr>
              <w:t>verre</w:t>
            </w:r>
            <w:r w:rsidR="00941E21" w:rsidRPr="00F641C1">
              <w:rPr>
                <w:lang w:val="fr-BE"/>
              </w:rPr>
              <w:t xml:space="preserve"> </w:t>
            </w:r>
            <w:r w:rsidR="00F641C1" w:rsidRPr="00F641C1">
              <w:rPr>
                <w:lang w:val="fr-BE"/>
              </w:rPr>
              <w:t>souterrains et de surface</w:t>
            </w:r>
            <w:r w:rsidR="005F42D9" w:rsidRPr="00FB0D93">
              <w:rPr>
                <w:lang w:val="fr-BE"/>
              </w:rPr>
              <w:t xml:space="preserve"> </w:t>
            </w:r>
            <w:r w:rsidRPr="00FB0D93">
              <w:rPr>
                <w:lang w:val="fr-BE"/>
              </w:rPr>
              <w:t>(1 par 700</w:t>
            </w:r>
            <w:r w:rsidR="005B6F53" w:rsidRPr="00FB0D93">
              <w:rPr>
                <w:lang w:val="fr-BE"/>
              </w:rPr>
              <w:t> </w:t>
            </w:r>
            <w:r w:rsidRPr="00FB0D93">
              <w:rPr>
                <w:lang w:val="fr-BE"/>
              </w:rPr>
              <w:t>habitants ou 1</w:t>
            </w:r>
            <w:r w:rsidR="005B6F53" w:rsidRPr="00FB0D93">
              <w:rPr>
                <w:lang w:val="fr-BE"/>
              </w:rPr>
              <w:t> </w:t>
            </w:r>
            <w:r w:rsidRPr="00FB0D93">
              <w:rPr>
                <w:lang w:val="fr-BE"/>
              </w:rPr>
              <w:t>par 400</w:t>
            </w:r>
            <w:r w:rsidR="005B6F53" w:rsidRPr="00FB0D93">
              <w:rPr>
                <w:lang w:val="fr-BE"/>
              </w:rPr>
              <w:t> </w:t>
            </w:r>
            <w:r w:rsidRPr="00FB0D93">
              <w:rPr>
                <w:lang w:val="fr-BE"/>
              </w:rPr>
              <w:t xml:space="preserve">habitants si la densité de la population est inférieure à </w:t>
            </w:r>
            <w:r w:rsidR="009170C7" w:rsidRPr="00FB0D93">
              <w:rPr>
                <w:lang w:val="fr-BE"/>
              </w:rPr>
              <w:t>200</w:t>
            </w:r>
            <w:r w:rsidR="005B6F53" w:rsidRPr="00FB0D93">
              <w:rPr>
                <w:lang w:val="fr-BE"/>
              </w:rPr>
              <w:t> </w:t>
            </w:r>
            <w:r w:rsidRPr="00FB0D93">
              <w:rPr>
                <w:lang w:val="fr-BE"/>
              </w:rPr>
              <w:t>habitants par km²)</w:t>
            </w:r>
            <w:r w:rsidR="005B6F53" w:rsidRPr="00FB0D93">
              <w:rPr>
                <w:lang w:val="fr-BE"/>
              </w:rPr>
              <w:t>,</w:t>
            </w:r>
            <w:r w:rsidR="00602E74" w:rsidRPr="00FB0D93">
              <w:rPr>
                <w:lang w:val="fr-BE"/>
              </w:rPr>
              <w:t xml:space="preserve"> situés le long de la voie publique </w:t>
            </w:r>
            <w:r w:rsidRPr="00FB0D93">
              <w:rPr>
                <w:lang w:val="fr-BE"/>
              </w:rPr>
              <w:t xml:space="preserve">et </w:t>
            </w:r>
            <w:r w:rsidR="00602E74" w:rsidRPr="00FB0D93">
              <w:rPr>
                <w:lang w:val="fr-BE"/>
              </w:rPr>
              <w:t>sur des terrains privés qui sont accessibles à la population (comme les parkings des grandes surfaces).</w:t>
            </w:r>
          </w:p>
          <w:p w14:paraId="7A9F8CFC" w14:textId="2B28CB78" w:rsidR="00602E74" w:rsidRPr="00FB0D93" w:rsidRDefault="003911C3" w:rsidP="00391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Conteneurs fixes</w:t>
            </w:r>
            <w:r w:rsidR="00E97BB1" w:rsidRPr="00FB0D93">
              <w:rPr>
                <w:lang w:val="fr-BE"/>
              </w:rPr>
              <w:t xml:space="preserve"> </w:t>
            </w:r>
            <w:r w:rsidRPr="00FB0D93">
              <w:rPr>
                <w:lang w:val="fr-BE"/>
              </w:rPr>
              <w:t>ou bulles à verre</w:t>
            </w:r>
            <w:r w:rsidR="00E97BB1" w:rsidRPr="00FB0D93">
              <w:rPr>
                <w:lang w:val="fr-BE"/>
              </w:rPr>
              <w:t xml:space="preserve"> </w:t>
            </w:r>
            <w:r w:rsidRPr="00FB0D93">
              <w:rPr>
                <w:lang w:val="fr-BE"/>
              </w:rPr>
              <w:t>dans les</w:t>
            </w:r>
            <w:r w:rsidR="00E97BB1" w:rsidRPr="00FB0D93">
              <w:rPr>
                <w:lang w:val="fr-BE"/>
              </w:rPr>
              <w:t xml:space="preserve"> </w:t>
            </w:r>
            <w:r w:rsidR="005F42D9" w:rsidRPr="00FB0D93">
              <w:rPr>
                <w:lang w:val="fr-BE"/>
              </w:rPr>
              <w:t>recyparcs</w:t>
            </w:r>
          </w:p>
        </w:tc>
        <w:tc>
          <w:tcPr>
            <w:tcW w:w="3424" w:type="dxa"/>
            <w:tcBorders>
              <w:top w:val="single" w:sz="6" w:space="0" w:color="000000"/>
              <w:left w:val="single" w:sz="6" w:space="0" w:color="000000"/>
              <w:bottom w:val="single" w:sz="6" w:space="0" w:color="000000"/>
              <w:right w:val="single" w:sz="6" w:space="0" w:color="000000"/>
            </w:tcBorders>
            <w:shd w:val="clear" w:color="auto" w:fill="auto"/>
          </w:tcPr>
          <w:p w14:paraId="55F0A73E" w14:textId="77777777" w:rsidR="00602E74" w:rsidRPr="00FB0D93" w:rsidRDefault="00602E74" w:rsidP="00602E74">
            <w:pPr>
              <w:spacing w:line="19" w:lineRule="exact"/>
              <w:jc w:val="left"/>
              <w:rPr>
                <w:lang w:val="fr-BE"/>
              </w:rPr>
            </w:pPr>
          </w:p>
          <w:p w14:paraId="314D7B93" w14:textId="77777777" w:rsidR="0086132C" w:rsidRPr="004E5EA2" w:rsidRDefault="005B6F53" w:rsidP="003D714C">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bCs w:val="0"/>
                <w:lang w:val="fr-BE"/>
              </w:rPr>
            </w:pPr>
            <w:r w:rsidRPr="004E5EA2">
              <w:rPr>
                <w:bCs w:val="0"/>
                <w:lang w:val="fr-BE"/>
              </w:rPr>
              <w:t xml:space="preserve">location </w:t>
            </w:r>
            <w:r w:rsidR="00602E74" w:rsidRPr="004E5EA2">
              <w:rPr>
                <w:bCs w:val="0"/>
                <w:lang w:val="fr-BE"/>
              </w:rPr>
              <w:t>de</w:t>
            </w:r>
            <w:r w:rsidR="009007F3" w:rsidRPr="004E5EA2">
              <w:rPr>
                <w:bCs w:val="0"/>
                <w:lang w:val="fr-BE"/>
              </w:rPr>
              <w:t>s</w:t>
            </w:r>
            <w:r w:rsidR="00602E74" w:rsidRPr="004E5EA2">
              <w:rPr>
                <w:bCs w:val="0"/>
                <w:lang w:val="fr-BE"/>
              </w:rPr>
              <w:t xml:space="preserve"> bulles à </w:t>
            </w:r>
            <w:r w:rsidR="002E7580" w:rsidRPr="004E5EA2">
              <w:rPr>
                <w:bCs w:val="0"/>
                <w:lang w:val="fr-BE"/>
              </w:rPr>
              <w:t>verre</w:t>
            </w:r>
            <w:r w:rsidR="00E976C8" w:rsidRPr="004E5EA2">
              <w:rPr>
                <w:bCs w:val="0"/>
                <w:lang w:val="fr-BE"/>
              </w:rPr>
              <w:t xml:space="preserve"> </w:t>
            </w:r>
          </w:p>
          <w:p w14:paraId="6C849C4D" w14:textId="6399F615" w:rsidR="0086132C" w:rsidRPr="003D714C" w:rsidRDefault="0086132C" w:rsidP="003D71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ind w:left="360"/>
              <w:jc w:val="left"/>
              <w:textAlignment w:val="auto"/>
              <w:rPr>
                <w:bCs w:val="0"/>
                <w:lang w:val="fr-BE"/>
              </w:rPr>
            </w:pPr>
            <w:r w:rsidRPr="003D714C">
              <w:rPr>
                <w:bCs w:val="0"/>
                <w:lang w:val="fr-BE"/>
              </w:rPr>
              <w:t>P</w:t>
            </w:r>
            <w:r w:rsidR="003D714C" w:rsidRPr="003D714C">
              <w:rPr>
                <w:bCs w:val="0"/>
                <w:lang w:val="fr-BE"/>
              </w:rPr>
              <w:t>our</w:t>
            </w:r>
            <w:r w:rsidR="007E76B8" w:rsidRPr="003D714C">
              <w:rPr>
                <w:bCs w:val="0"/>
                <w:lang w:val="fr-BE"/>
              </w:rPr>
              <w:t xml:space="preserve"> les bulles à verre </w:t>
            </w:r>
            <w:r w:rsidR="00E44C2B" w:rsidRPr="003D714C">
              <w:rPr>
                <w:bCs w:val="0"/>
                <w:lang w:val="fr-BE"/>
              </w:rPr>
              <w:t>enterrées</w:t>
            </w:r>
            <w:r w:rsidR="007E76B8" w:rsidRPr="003D714C">
              <w:rPr>
                <w:bCs w:val="0"/>
                <w:lang w:val="fr-BE"/>
              </w:rPr>
              <w:t xml:space="preserve">, Fost Plus paie une « location » après la période d’amortissement de la bulle à verre </w:t>
            </w:r>
            <w:r w:rsidR="00E44C2B" w:rsidRPr="003D714C">
              <w:rPr>
                <w:bCs w:val="0"/>
                <w:lang w:val="fr-BE"/>
              </w:rPr>
              <w:t>enterrée</w:t>
            </w:r>
          </w:p>
          <w:p w14:paraId="2CD72A27" w14:textId="11A816B6" w:rsidR="00417723" w:rsidRPr="00FB0D93" w:rsidRDefault="005B6F53" w:rsidP="00602E7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n</w:t>
            </w:r>
            <w:r w:rsidR="00417723" w:rsidRPr="00FB0D93">
              <w:rPr>
                <w:lang w:val="fr-BE"/>
              </w:rPr>
              <w:t xml:space="preserve">ettoyage des bulles à verre </w:t>
            </w:r>
            <w:r w:rsidR="002E7580" w:rsidRPr="00FB0D93">
              <w:rPr>
                <w:lang w:val="fr-BE"/>
              </w:rPr>
              <w:t xml:space="preserve">située en </w:t>
            </w:r>
            <w:r w:rsidR="00417723" w:rsidRPr="00FB0D93">
              <w:rPr>
                <w:lang w:val="fr-BE"/>
              </w:rPr>
              <w:t>surface et enterrées (borne)</w:t>
            </w:r>
          </w:p>
          <w:p w14:paraId="7976F78F" w14:textId="58BFA646" w:rsidR="00602E74" w:rsidRPr="00FB0D93" w:rsidRDefault="009007F3" w:rsidP="004F609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e</w:t>
            </w:r>
            <w:r w:rsidR="00417723" w:rsidRPr="00FB0D93">
              <w:rPr>
                <w:lang w:val="fr-BE"/>
              </w:rPr>
              <w:t>ntretien des bulles à verre</w:t>
            </w:r>
            <w:r w:rsidR="00334D92" w:rsidRPr="00FB0D93">
              <w:rPr>
                <w:lang w:val="fr-BE"/>
              </w:rPr>
              <w:t xml:space="preserve"> </w:t>
            </w:r>
            <w:r w:rsidR="002E2492" w:rsidRPr="00FB0D93">
              <w:rPr>
                <w:lang w:val="fr-BE"/>
              </w:rPr>
              <w:t>situées en surface</w:t>
            </w:r>
          </w:p>
          <w:p w14:paraId="0C2D6BA1" w14:textId="25E130B3" w:rsidR="00602E74" w:rsidRPr="00FB0D93" w:rsidRDefault="009007F3" w:rsidP="002E2492">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n</w:t>
            </w:r>
            <w:r w:rsidR="00602E74" w:rsidRPr="00FB0D93">
              <w:rPr>
                <w:lang w:val="fr-BE"/>
              </w:rPr>
              <w:t>ettoyage des sites de bulles à</w:t>
            </w:r>
            <w:r w:rsidR="001712DE" w:rsidRPr="00FB0D93">
              <w:rPr>
                <w:lang w:val="fr-BE"/>
              </w:rPr>
              <w:t xml:space="preserve"> verre</w:t>
            </w:r>
            <w:r w:rsidR="002E2492" w:rsidRPr="00FB0D93">
              <w:rPr>
                <w:lang w:val="fr-BE"/>
              </w:rPr>
              <w:t xml:space="preserve"> </w:t>
            </w:r>
            <w:r w:rsidR="002E7580" w:rsidRPr="00FB0D93">
              <w:rPr>
                <w:lang w:val="fr-BE"/>
              </w:rPr>
              <w:t xml:space="preserve">situées en surface </w:t>
            </w:r>
            <w:r w:rsidR="002E2492" w:rsidRPr="00FB0D93">
              <w:rPr>
                <w:lang w:val="fr-BE"/>
              </w:rPr>
              <w:t>et enterrées</w:t>
            </w:r>
          </w:p>
          <w:p w14:paraId="4586B3A3" w14:textId="11E19704" w:rsidR="00602E74" w:rsidRPr="00FB0D93" w:rsidRDefault="009007F3" w:rsidP="00602E7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v</w:t>
            </w:r>
            <w:r w:rsidR="00602E74" w:rsidRPr="00FB0D93">
              <w:rPr>
                <w:lang w:val="fr-BE"/>
              </w:rPr>
              <w:t>idange et pesage des bulles à verre</w:t>
            </w:r>
          </w:p>
          <w:p w14:paraId="5BA65E3D" w14:textId="07178AD7" w:rsidR="00602E74" w:rsidRPr="00FB0D93" w:rsidRDefault="009007F3" w:rsidP="00602E7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602E74" w:rsidRPr="00FB0D93">
              <w:rPr>
                <w:lang w:val="fr-BE"/>
              </w:rPr>
              <w:t>ransport du verre jusqu’</w:t>
            </w:r>
            <w:r w:rsidR="001712DE" w:rsidRPr="00FB0D93">
              <w:rPr>
                <w:lang w:val="fr-BE"/>
              </w:rPr>
              <w:t>au</w:t>
            </w:r>
            <w:r w:rsidR="00602E74" w:rsidRPr="00FB0D93">
              <w:rPr>
                <w:lang w:val="fr-BE"/>
              </w:rPr>
              <w:t xml:space="preserve"> point de livraison de </w:t>
            </w:r>
            <w:r w:rsidRPr="00FB0D93">
              <w:rPr>
                <w:lang w:val="fr-BE"/>
              </w:rPr>
              <w:t xml:space="preserve">l’acquéreur </w:t>
            </w:r>
            <w:r w:rsidR="00602E74" w:rsidRPr="00FB0D93">
              <w:rPr>
                <w:lang w:val="fr-BE"/>
              </w:rPr>
              <w:t>(y compris pesage et vidange du conteneur)</w:t>
            </w:r>
          </w:p>
          <w:p w14:paraId="2429FC5E" w14:textId="590A150D" w:rsidR="00D3582D" w:rsidRPr="00FB0D93" w:rsidRDefault="009007F3" w:rsidP="00602E7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p</w:t>
            </w:r>
            <w:r w:rsidR="00602E74" w:rsidRPr="00FB0D93">
              <w:rPr>
                <w:lang w:val="fr-BE"/>
              </w:rPr>
              <w:t>lacement et déplacement de bulles à verre</w:t>
            </w:r>
          </w:p>
          <w:p w14:paraId="7086A5F7" w14:textId="340763BF" w:rsidR="00941E21" w:rsidRPr="00FB0D93" w:rsidRDefault="003911C3" w:rsidP="00602E7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revêtement des sites de bulles à verre</w:t>
            </w:r>
          </w:p>
          <w:p w14:paraId="4163EED7" w14:textId="76211AB0" w:rsidR="00941E21" w:rsidRPr="00FB0D93" w:rsidRDefault="003911C3" w:rsidP="00941E21">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lang w:val="fr-BE"/>
              </w:rPr>
            </w:pPr>
            <w:r w:rsidRPr="00FB0D93">
              <w:rPr>
                <w:lang w:val="fr-BE"/>
              </w:rPr>
              <w:t>placement et vida</w:t>
            </w:r>
            <w:r w:rsidR="00A23FC2" w:rsidRPr="00FB0D93">
              <w:rPr>
                <w:lang w:val="fr-BE"/>
              </w:rPr>
              <w:t>n</w:t>
            </w:r>
            <w:r w:rsidRPr="00FB0D93">
              <w:rPr>
                <w:lang w:val="fr-BE"/>
              </w:rPr>
              <w:t>ge de</w:t>
            </w:r>
            <w:r w:rsidR="00941E21" w:rsidRPr="00FB0D93">
              <w:rPr>
                <w:lang w:val="fr-BE"/>
              </w:rPr>
              <w:t xml:space="preserve"> </w:t>
            </w:r>
            <w:r w:rsidRPr="00FB0D93">
              <w:rPr>
                <w:lang w:val="fr-BE"/>
              </w:rPr>
              <w:t>conteneurs fixes</w:t>
            </w:r>
            <w:r w:rsidR="00941E21" w:rsidRPr="00FB0D93">
              <w:rPr>
                <w:lang w:val="fr-BE"/>
              </w:rPr>
              <w:t xml:space="preserve"> </w:t>
            </w:r>
            <w:r w:rsidRPr="00FB0D93">
              <w:rPr>
                <w:lang w:val="fr-BE"/>
              </w:rPr>
              <w:t>ou bulles à verre</w:t>
            </w:r>
            <w:r w:rsidR="00941E21" w:rsidRPr="00FB0D93">
              <w:rPr>
                <w:lang w:val="fr-BE"/>
              </w:rPr>
              <w:t xml:space="preserve"> </w:t>
            </w:r>
            <w:r w:rsidRPr="00FB0D93">
              <w:rPr>
                <w:lang w:val="fr-BE"/>
              </w:rPr>
              <w:t>dans les recyparcs</w:t>
            </w:r>
          </w:p>
          <w:p w14:paraId="20E38440" w14:textId="3D19EE3C" w:rsidR="00602E74" w:rsidRPr="00FB0D93" w:rsidRDefault="009007F3" w:rsidP="00602E7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602E74" w:rsidRPr="00FB0D93">
              <w:rPr>
                <w:lang w:val="fr-BE"/>
              </w:rPr>
              <w:t>raitement administratif et transfert des données</w:t>
            </w:r>
          </w:p>
          <w:p w14:paraId="53555DAC" w14:textId="77777777"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left"/>
              <w:rPr>
                <w:strike/>
                <w:szCs w:val="18"/>
                <w:lang w:val="fr-BE"/>
              </w:rPr>
            </w:pPr>
          </w:p>
        </w:tc>
      </w:tr>
      <w:tr w:rsidR="00FB0D93" w:rsidRPr="0086132C" w14:paraId="5CEEED20" w14:textId="77777777" w:rsidTr="00C24D2B">
        <w:trPr>
          <w:gridAfter w:val="1"/>
          <w:wAfter w:w="120" w:type="dxa"/>
        </w:trPr>
        <w:tc>
          <w:tcPr>
            <w:tcW w:w="1701" w:type="dxa"/>
            <w:tcBorders>
              <w:top w:val="single" w:sz="6" w:space="0" w:color="000000"/>
              <w:left w:val="single" w:sz="6" w:space="0" w:color="000000"/>
              <w:bottom w:val="single" w:sz="4" w:space="0" w:color="auto"/>
              <w:right w:val="single" w:sz="6" w:space="0" w:color="FFFFFF"/>
            </w:tcBorders>
          </w:tcPr>
          <w:p w14:paraId="0970F3C3" w14:textId="77777777" w:rsidR="00602E74" w:rsidRPr="00FB0D93" w:rsidRDefault="00602E74" w:rsidP="00602E74">
            <w:pPr>
              <w:spacing w:line="19" w:lineRule="exact"/>
              <w:jc w:val="left"/>
              <w:rPr>
                <w:lang w:val="fr-BE"/>
              </w:rPr>
            </w:pPr>
          </w:p>
          <w:p w14:paraId="4D4428FA" w14:textId="77777777"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Cs w:val="0"/>
                <w:lang w:val="fr-BE"/>
              </w:rPr>
            </w:pPr>
            <w:r w:rsidRPr="00FB0D93">
              <w:rPr>
                <w:bCs w:val="0"/>
                <w:lang w:val="fr-BE"/>
              </w:rPr>
              <w:t xml:space="preserve">Papier-carton </w:t>
            </w:r>
          </w:p>
          <w:p w14:paraId="3D93B1E8" w14:textId="65AD4AF0"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Emballages et non-emballages</w:t>
            </w:r>
          </w:p>
          <w:p w14:paraId="55B1948D" w14:textId="5512ACA5"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 xml:space="preserve">Part de financement </w:t>
            </w:r>
            <w:r w:rsidR="002E2492" w:rsidRPr="00FB0D93">
              <w:rPr>
                <w:lang w:val="fr-BE"/>
              </w:rPr>
              <w:t xml:space="preserve">de </w:t>
            </w:r>
            <w:r w:rsidR="00417723" w:rsidRPr="00FB0D93">
              <w:rPr>
                <w:lang w:val="fr-BE"/>
              </w:rPr>
              <w:t>44 </w:t>
            </w:r>
            <w:r w:rsidRPr="00FB0D93">
              <w:rPr>
                <w:lang w:val="fr-BE"/>
              </w:rPr>
              <w:t xml:space="preserve">% </w:t>
            </w:r>
            <w:r w:rsidR="002E2492" w:rsidRPr="00FB0D93">
              <w:rPr>
                <w:lang w:val="fr-BE"/>
              </w:rPr>
              <w:t>des coûts totaux</w:t>
            </w:r>
          </w:p>
        </w:tc>
        <w:tc>
          <w:tcPr>
            <w:tcW w:w="1821" w:type="dxa"/>
            <w:tcBorders>
              <w:top w:val="single" w:sz="6" w:space="0" w:color="000000"/>
              <w:left w:val="single" w:sz="6" w:space="0" w:color="000000"/>
              <w:bottom w:val="single" w:sz="4" w:space="0" w:color="auto"/>
              <w:right w:val="single" w:sz="6" w:space="0" w:color="FFFFFF"/>
            </w:tcBorders>
          </w:tcPr>
          <w:p w14:paraId="189CD28C" w14:textId="77777777" w:rsidR="00602E74" w:rsidRPr="00FB0D93" w:rsidRDefault="00602E74" w:rsidP="00602E74">
            <w:pPr>
              <w:spacing w:line="19" w:lineRule="exact"/>
              <w:jc w:val="left"/>
              <w:rPr>
                <w:lang w:val="fr-BE"/>
              </w:rPr>
            </w:pPr>
          </w:p>
          <w:p w14:paraId="24017499" w14:textId="69221A84" w:rsidR="002E2492" w:rsidRPr="00FB0D93" w:rsidRDefault="009007F3" w:rsidP="00FD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C</w:t>
            </w:r>
            <w:r w:rsidR="00122757" w:rsidRPr="00FB0D93">
              <w:rPr>
                <w:lang w:val="fr-BE"/>
              </w:rPr>
              <w:t>ollecte</w:t>
            </w:r>
            <w:r w:rsidR="002E2492" w:rsidRPr="00FB0D93">
              <w:rPr>
                <w:lang w:val="fr-BE"/>
              </w:rPr>
              <w:t>, soit</w:t>
            </w:r>
            <w:r w:rsidR="00122757" w:rsidRPr="00FB0D93">
              <w:rPr>
                <w:lang w:val="fr-BE"/>
              </w:rPr>
              <w:t xml:space="preserve"> </w:t>
            </w:r>
          </w:p>
          <w:p w14:paraId="7943246D" w14:textId="4407F69B" w:rsidR="002E2492" w:rsidRPr="00FB0D93" w:rsidRDefault="002E2492" w:rsidP="002E2492">
            <w:pPr>
              <w:pStyle w:val="Listepuces"/>
              <w:widowControl/>
              <w:adjustRightInd/>
              <w:spacing w:before="60" w:after="60" w:line="240" w:lineRule="auto"/>
              <w:jc w:val="left"/>
              <w:textAlignment w:val="auto"/>
              <w:rPr>
                <w:lang w:val="fr-BE"/>
              </w:rPr>
            </w:pPr>
            <w:r w:rsidRPr="00FB0D93">
              <w:rPr>
                <w:lang w:val="fr-BE"/>
              </w:rPr>
              <w:t>toutes les quatre semaines</w:t>
            </w:r>
          </w:p>
          <w:p w14:paraId="1FD96947" w14:textId="6D402047" w:rsidR="002E2492" w:rsidRPr="00FB0D93" w:rsidRDefault="002E2492" w:rsidP="002E2492">
            <w:pPr>
              <w:pStyle w:val="Listepuces"/>
              <w:widowControl/>
              <w:adjustRightInd/>
              <w:spacing w:before="60" w:after="60" w:line="240" w:lineRule="auto"/>
              <w:jc w:val="left"/>
              <w:textAlignment w:val="auto"/>
              <w:rPr>
                <w:lang w:val="fr-BE"/>
              </w:rPr>
            </w:pPr>
            <w:r w:rsidRPr="00FB0D93">
              <w:rPr>
                <w:lang w:val="fr-BE"/>
              </w:rPr>
              <w:t xml:space="preserve">toutes les deux semaines (moyennant motivation) pour les communes d’au moins 100.000 habitants ou avec une </w:t>
            </w:r>
            <w:r w:rsidRPr="00FB0D93">
              <w:rPr>
                <w:lang w:val="fr-BE"/>
              </w:rPr>
              <w:lastRenderedPageBreak/>
              <w:t>densité de population moyenne de 1000</w:t>
            </w:r>
            <w:r w:rsidR="009007F3" w:rsidRPr="00FB0D93">
              <w:rPr>
                <w:lang w:val="fr-BE"/>
              </w:rPr>
              <w:t> </w:t>
            </w:r>
            <w:r w:rsidRPr="00FB0D93">
              <w:rPr>
                <w:lang w:val="fr-BE"/>
              </w:rPr>
              <w:t>habitants/km²</w:t>
            </w:r>
          </w:p>
          <w:p w14:paraId="72A8900C" w14:textId="767D8F7C" w:rsidR="002E2492" w:rsidRPr="00FB0D93" w:rsidRDefault="002E2492" w:rsidP="002E2492">
            <w:pPr>
              <w:pStyle w:val="Listepuces"/>
              <w:widowControl/>
              <w:adjustRightInd/>
              <w:spacing w:before="60" w:after="60" w:line="240" w:lineRule="auto"/>
              <w:jc w:val="left"/>
              <w:textAlignment w:val="auto"/>
              <w:rPr>
                <w:lang w:val="fr-BE"/>
              </w:rPr>
            </w:pPr>
            <w:r w:rsidRPr="00FB0D93">
              <w:rPr>
                <w:lang w:val="fr-BE"/>
              </w:rPr>
              <w:t>chaque semaine (moyennant motivation) pour les communes d’au moins 150.000 habitants)</w:t>
            </w:r>
          </w:p>
          <w:p w14:paraId="47AB1299" w14:textId="77777777" w:rsidR="002E2492" w:rsidRPr="00FB0D93" w:rsidRDefault="002E2492" w:rsidP="002E2492">
            <w:pPr>
              <w:pStyle w:val="Listepuces"/>
              <w:numPr>
                <w:ilvl w:val="0"/>
                <w:numId w:val="0"/>
              </w:numPr>
              <w:spacing w:before="60" w:after="60" w:line="240" w:lineRule="auto"/>
              <w:ind w:left="199"/>
              <w:rPr>
                <w:lang w:val="fr-BE"/>
              </w:rPr>
            </w:pPr>
          </w:p>
          <w:p w14:paraId="08F54357" w14:textId="502332C3" w:rsidR="002E2492" w:rsidRPr="00FB0D93" w:rsidRDefault="002E2492" w:rsidP="009007F3">
            <w:pPr>
              <w:spacing w:before="60" w:after="60" w:line="240" w:lineRule="auto"/>
              <w:jc w:val="left"/>
              <w:rPr>
                <w:lang w:val="fr-BE"/>
              </w:rPr>
            </w:pPr>
            <w:r w:rsidRPr="00FB0D93">
              <w:rPr>
                <w:lang w:val="fr-BE"/>
              </w:rPr>
              <w:t>Mixte dans des boîtes en carton du consommateur ou relié</w:t>
            </w:r>
            <w:r w:rsidR="009170C7" w:rsidRPr="00FB0D93">
              <w:rPr>
                <w:lang w:val="fr-BE"/>
              </w:rPr>
              <w:t>,</w:t>
            </w:r>
            <w:r w:rsidRPr="00FB0D93">
              <w:rPr>
                <w:lang w:val="fr-BE"/>
              </w:rPr>
              <w:t xml:space="preserve"> le cas échéant par le biais de conteneurs individuels (uniquement si toutes les quatre semaines)</w:t>
            </w:r>
          </w:p>
          <w:p w14:paraId="44250638" w14:textId="04F52999" w:rsidR="002E2492" w:rsidRPr="00FB0D93" w:rsidRDefault="009007F3" w:rsidP="00900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left"/>
              <w:rPr>
                <w:lang w:val="fr-BE"/>
              </w:rPr>
            </w:pPr>
            <w:r w:rsidRPr="00FB0D93">
              <w:rPr>
                <w:lang w:val="fr-BE"/>
              </w:rPr>
              <w:t>a</w:t>
            </w:r>
            <w:r w:rsidR="002E2492" w:rsidRPr="00FB0D93">
              <w:rPr>
                <w:lang w:val="fr-BE"/>
              </w:rPr>
              <w:t>insi que, si d’application, l</w:t>
            </w:r>
            <w:r w:rsidR="00D3582D" w:rsidRPr="00FB0D93">
              <w:rPr>
                <w:lang w:val="fr-BE"/>
              </w:rPr>
              <w:t>a</w:t>
            </w:r>
            <w:r w:rsidR="002E2492" w:rsidRPr="00FB0D93">
              <w:rPr>
                <w:lang w:val="fr-BE"/>
              </w:rPr>
              <w:t xml:space="preserve"> vidange de conteneurs de 1.100</w:t>
            </w:r>
            <w:r w:rsidRPr="00FB0D93">
              <w:rPr>
                <w:lang w:val="fr-BE"/>
              </w:rPr>
              <w:t> </w:t>
            </w:r>
            <w:r w:rsidR="002E2492" w:rsidRPr="00FB0D93">
              <w:rPr>
                <w:lang w:val="fr-BE"/>
              </w:rPr>
              <w:t xml:space="preserve">litres auprès d’écoles, </w:t>
            </w:r>
            <w:r w:rsidR="00110C85" w:rsidRPr="00FB0D93">
              <w:rPr>
                <w:lang w:val="fr-BE"/>
              </w:rPr>
              <w:t>d’immeubles</w:t>
            </w:r>
            <w:r w:rsidR="002E2492" w:rsidRPr="00FB0D93">
              <w:rPr>
                <w:lang w:val="fr-BE"/>
              </w:rPr>
              <w:t xml:space="preserve"> à étages et de points de </w:t>
            </w:r>
            <w:r w:rsidR="00905FA2" w:rsidRPr="00FB0D93">
              <w:rPr>
                <w:lang w:val="fr-BE"/>
              </w:rPr>
              <w:t>ramassage</w:t>
            </w:r>
            <w:r w:rsidR="002E2492" w:rsidRPr="00FB0D93">
              <w:rPr>
                <w:lang w:val="fr-BE"/>
              </w:rPr>
              <w:t xml:space="preserve"> groupés de</w:t>
            </w:r>
            <w:r w:rsidR="00110C85" w:rsidRPr="00FB0D93">
              <w:rPr>
                <w:lang w:val="fr-BE"/>
              </w:rPr>
              <w:t>s</w:t>
            </w:r>
            <w:r w:rsidR="002E2492" w:rsidRPr="00FB0D93">
              <w:rPr>
                <w:lang w:val="fr-BE"/>
              </w:rPr>
              <w:t xml:space="preserve"> ménages </w:t>
            </w:r>
          </w:p>
          <w:p w14:paraId="6E8676B2" w14:textId="1B2EA147" w:rsidR="00602E74" w:rsidRPr="00FB0D93" w:rsidRDefault="00602E74" w:rsidP="00FD3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p>
        </w:tc>
        <w:tc>
          <w:tcPr>
            <w:tcW w:w="1985" w:type="dxa"/>
            <w:tcBorders>
              <w:top w:val="single" w:sz="6" w:space="0" w:color="000000"/>
              <w:left w:val="single" w:sz="6" w:space="0" w:color="000000"/>
              <w:bottom w:val="single" w:sz="4" w:space="0" w:color="auto"/>
              <w:right w:val="single" w:sz="6" w:space="0" w:color="FFFFFF"/>
            </w:tcBorders>
          </w:tcPr>
          <w:p w14:paraId="37848A7E" w14:textId="77777777" w:rsidR="00602E74" w:rsidRPr="00FB0D93" w:rsidRDefault="00602E74" w:rsidP="00602E74">
            <w:pPr>
              <w:spacing w:line="19" w:lineRule="exact"/>
              <w:jc w:val="left"/>
              <w:rPr>
                <w:lang w:val="fr-BE"/>
              </w:rPr>
            </w:pPr>
          </w:p>
          <w:p w14:paraId="51D5D521" w14:textId="33DD3383" w:rsidR="002E2492" w:rsidRPr="00FB0D93" w:rsidRDefault="002E2492"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w:t>
            </w:r>
            <w:r w:rsidR="009007F3" w:rsidRPr="00FB0D93">
              <w:rPr>
                <w:lang w:val="fr-BE"/>
              </w:rPr>
              <w:t>C</w:t>
            </w:r>
            <w:r w:rsidRPr="00FB0D93">
              <w:rPr>
                <w:lang w:val="fr-BE"/>
              </w:rPr>
              <w:t xml:space="preserve">omplété par des conteneurs </w:t>
            </w:r>
            <w:r w:rsidR="007E0214" w:rsidRPr="00FB0D93">
              <w:rPr>
                <w:lang w:val="fr-BE"/>
              </w:rPr>
              <w:t xml:space="preserve">fixes </w:t>
            </w:r>
            <w:r w:rsidR="009170C7" w:rsidRPr="00FB0D93">
              <w:rPr>
                <w:lang w:val="fr-BE"/>
              </w:rPr>
              <w:t xml:space="preserve">par </w:t>
            </w:r>
            <w:r w:rsidRPr="00FB0D93">
              <w:rPr>
                <w:lang w:val="fr-BE"/>
              </w:rPr>
              <w:t xml:space="preserve">le biais des </w:t>
            </w:r>
            <w:r w:rsidR="005F42D9" w:rsidRPr="00FB0D93">
              <w:rPr>
                <w:lang w:val="fr-BE"/>
              </w:rPr>
              <w:t>recyparcs</w:t>
            </w:r>
          </w:p>
          <w:p w14:paraId="72C1D8F7" w14:textId="5ECD4034" w:rsidR="00602E74" w:rsidRPr="00FB0D93" w:rsidRDefault="002E2492" w:rsidP="002E7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w:t>
            </w:r>
            <w:r w:rsidR="009007F3" w:rsidRPr="00FB0D93">
              <w:rPr>
                <w:lang w:val="fr-BE"/>
              </w:rPr>
              <w:t>L</w:t>
            </w:r>
            <w:r w:rsidRPr="00FB0D93">
              <w:rPr>
                <w:lang w:val="fr-BE"/>
              </w:rPr>
              <w:t xml:space="preserve">e cas échéant par le biais d’un système d’apport à courte distance </w:t>
            </w:r>
            <w:r w:rsidR="00CD00E8" w:rsidRPr="00FB0D93">
              <w:rPr>
                <w:lang w:val="fr-BE"/>
              </w:rPr>
              <w:t>au lieu</w:t>
            </w:r>
            <w:r w:rsidRPr="00FB0D93">
              <w:rPr>
                <w:lang w:val="fr-BE"/>
              </w:rPr>
              <w:t xml:space="preserve"> d’une collecte en porte-à-porte</w:t>
            </w:r>
            <w:r w:rsidR="00D32118" w:rsidRPr="00FB0D93">
              <w:rPr>
                <w:lang w:val="fr-BE"/>
              </w:rPr>
              <w:t xml:space="preserve"> </w:t>
            </w:r>
          </w:p>
        </w:tc>
        <w:tc>
          <w:tcPr>
            <w:tcW w:w="3424" w:type="dxa"/>
            <w:tcBorders>
              <w:top w:val="single" w:sz="6" w:space="0" w:color="000000"/>
              <w:left w:val="single" w:sz="6" w:space="0" w:color="000000"/>
              <w:bottom w:val="single" w:sz="4" w:space="0" w:color="auto"/>
              <w:right w:val="single" w:sz="6" w:space="0" w:color="000000"/>
            </w:tcBorders>
          </w:tcPr>
          <w:p w14:paraId="11AD69BA" w14:textId="77777777" w:rsidR="00602E74" w:rsidRPr="00FB0D93" w:rsidRDefault="00602E74" w:rsidP="00602E74">
            <w:pPr>
              <w:spacing w:line="19" w:lineRule="exact"/>
              <w:jc w:val="left"/>
              <w:rPr>
                <w:lang w:val="fr-BE"/>
              </w:rPr>
            </w:pPr>
          </w:p>
          <w:p w14:paraId="44BDD0EC" w14:textId="54C447DD" w:rsidR="00602E74" w:rsidRPr="00FB0D93" w:rsidRDefault="009007F3" w:rsidP="00342D8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c</w:t>
            </w:r>
            <w:r w:rsidR="00602E74" w:rsidRPr="00FB0D93">
              <w:rPr>
                <w:lang w:val="fr-BE"/>
              </w:rPr>
              <w:t>ollecte en porte-à-porte</w:t>
            </w:r>
            <w:r w:rsidR="002E2492" w:rsidRPr="00FB0D93">
              <w:rPr>
                <w:lang w:val="fr-BE"/>
              </w:rPr>
              <w:t xml:space="preserve"> ou par le biais d’un système d’apport de remplacement à courte distance</w:t>
            </w:r>
          </w:p>
          <w:p w14:paraId="4104CB18" w14:textId="5B021615" w:rsidR="00602E74" w:rsidRPr="00FB0D93" w:rsidRDefault="009007F3" w:rsidP="00342D8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2E2492" w:rsidRPr="00FB0D93">
              <w:rPr>
                <w:lang w:val="fr-BE"/>
              </w:rPr>
              <w:t>ransport du papier-carton jusqu’au point de livraison de l’</w:t>
            </w:r>
            <w:r w:rsidRPr="00FB0D93">
              <w:rPr>
                <w:lang w:val="fr-BE"/>
              </w:rPr>
              <w:t>a</w:t>
            </w:r>
            <w:r w:rsidR="002E2492" w:rsidRPr="00FB0D93">
              <w:rPr>
                <w:lang w:val="fr-BE"/>
              </w:rPr>
              <w:t xml:space="preserve">cquéreur (y compris pesage et vidange) </w:t>
            </w:r>
          </w:p>
          <w:p w14:paraId="07844C00" w14:textId="50CD2499" w:rsidR="00CD00E8" w:rsidRPr="00FB0D93" w:rsidRDefault="009007F3" w:rsidP="00342D8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l</w:t>
            </w:r>
            <w:r w:rsidR="00CD00E8" w:rsidRPr="00FB0D93">
              <w:rPr>
                <w:lang w:val="fr-BE"/>
              </w:rPr>
              <w:t>ocation/</w:t>
            </w:r>
            <w:r w:rsidR="007E0214" w:rsidRPr="00FB0D93">
              <w:rPr>
                <w:lang w:val="fr-BE"/>
              </w:rPr>
              <w:t>remboursement</w:t>
            </w:r>
            <w:r w:rsidR="00CD00E8" w:rsidRPr="00FB0D93">
              <w:rPr>
                <w:lang w:val="fr-BE"/>
              </w:rPr>
              <w:t xml:space="preserve"> d</w:t>
            </w:r>
            <w:r w:rsidR="00843AF4" w:rsidRPr="00FB0D93">
              <w:rPr>
                <w:lang w:val="fr-BE"/>
              </w:rPr>
              <w:t>e</w:t>
            </w:r>
            <w:r w:rsidR="00CD00E8" w:rsidRPr="00FB0D93">
              <w:rPr>
                <w:lang w:val="fr-BE"/>
              </w:rPr>
              <w:t xml:space="preserve">s conteneurs </w:t>
            </w:r>
            <w:r w:rsidR="007E0214" w:rsidRPr="00FB0D93">
              <w:rPr>
                <w:lang w:val="fr-BE"/>
              </w:rPr>
              <w:t>fixes dans les</w:t>
            </w:r>
            <w:r w:rsidR="00CD00E8" w:rsidRPr="00FB0D93">
              <w:rPr>
                <w:lang w:val="fr-BE"/>
              </w:rPr>
              <w:t xml:space="preserve"> </w:t>
            </w:r>
            <w:r w:rsidR="005F42D9" w:rsidRPr="00FB0D93">
              <w:rPr>
                <w:lang w:val="fr-BE"/>
              </w:rPr>
              <w:t>recyparcs</w:t>
            </w:r>
            <w:r w:rsidR="00CD00E8" w:rsidRPr="00FB0D93">
              <w:rPr>
                <w:lang w:val="fr-BE"/>
              </w:rPr>
              <w:t xml:space="preserve"> (le cas échéant)</w:t>
            </w:r>
          </w:p>
          <w:p w14:paraId="60BDB36B" w14:textId="48990C41" w:rsidR="009170C7" w:rsidRPr="00FB0D93" w:rsidRDefault="009007F3" w:rsidP="00342D8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602E74" w:rsidRPr="00FB0D93">
              <w:rPr>
                <w:lang w:val="fr-BE"/>
              </w:rPr>
              <w:t>raitement administratif et transfert des données</w:t>
            </w:r>
          </w:p>
          <w:p w14:paraId="0B08C0B9" w14:textId="5F2FA054" w:rsidR="00342D80" w:rsidRPr="00FB0D93" w:rsidRDefault="003911C3" w:rsidP="00342D80">
            <w:pPr>
              <w:pStyle w:val="Listenumros"/>
              <w:widowControl/>
              <w:numPr>
                <w:ilvl w:val="0"/>
                <w:numId w:val="5"/>
              </w:numPr>
              <w:adjustRightInd/>
              <w:jc w:val="left"/>
              <w:textAlignment w:val="auto"/>
              <w:rPr>
                <w:lang w:val="fr-BE"/>
              </w:rPr>
            </w:pPr>
            <w:r w:rsidRPr="00FB0D93">
              <w:rPr>
                <w:lang w:val="fr-BE"/>
              </w:rPr>
              <w:t>transbordement et</w:t>
            </w:r>
            <w:r w:rsidR="00342D80" w:rsidRPr="00FB0D93">
              <w:rPr>
                <w:lang w:val="fr-BE"/>
              </w:rPr>
              <w:t xml:space="preserve"> transport, </w:t>
            </w:r>
            <w:r w:rsidR="000B0D37" w:rsidRPr="00FB0D93">
              <w:rPr>
                <w:lang w:val="fr-BE"/>
              </w:rPr>
              <w:t>le cas échéant</w:t>
            </w:r>
            <w:r w:rsidR="00342D80" w:rsidRPr="00FB0D93">
              <w:rPr>
                <w:lang w:val="fr-BE"/>
              </w:rPr>
              <w:t xml:space="preserve"> </w:t>
            </w:r>
          </w:p>
          <w:p w14:paraId="56A6B19C" w14:textId="4FBCB281" w:rsidR="00602E74" w:rsidRPr="00FB0D93" w:rsidRDefault="00966A67" w:rsidP="00342D80">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lastRenderedPageBreak/>
              <w:t>l</w:t>
            </w:r>
            <w:r w:rsidR="00CD00E8" w:rsidRPr="00FB0D93">
              <w:rPr>
                <w:lang w:val="fr-BE"/>
              </w:rPr>
              <w:t>e cas échéant</w:t>
            </w:r>
            <w:r w:rsidRPr="00FB0D93">
              <w:rPr>
                <w:lang w:val="fr-BE"/>
              </w:rPr>
              <w:t>,</w:t>
            </w:r>
            <w:r w:rsidR="00CD00E8" w:rsidRPr="00FB0D93">
              <w:rPr>
                <w:lang w:val="fr-BE"/>
              </w:rPr>
              <w:t xml:space="preserve"> 44</w:t>
            </w:r>
            <w:r w:rsidR="009007F3" w:rsidRPr="00FB0D93">
              <w:rPr>
                <w:lang w:val="fr-BE"/>
              </w:rPr>
              <w:t> </w:t>
            </w:r>
            <w:r w:rsidR="00CD00E8" w:rsidRPr="00FB0D93">
              <w:rPr>
                <w:lang w:val="fr-BE"/>
              </w:rPr>
              <w:t>% du prix d’achat des conteneurs individuels, exprimés</w:t>
            </w:r>
            <w:r w:rsidR="00734CFB" w:rsidRPr="00FB0D93">
              <w:rPr>
                <w:lang w:val="fr-BE"/>
              </w:rPr>
              <w:t xml:space="preserve"> </w:t>
            </w:r>
            <w:r w:rsidR="00027F9B" w:rsidRPr="00FB0D93">
              <w:rPr>
                <w:lang w:val="fr-BE"/>
              </w:rPr>
              <w:t>ou non</w:t>
            </w:r>
            <w:r w:rsidR="00CD00E8" w:rsidRPr="00FB0D93">
              <w:rPr>
                <w:lang w:val="fr-BE"/>
              </w:rPr>
              <w:t xml:space="preserve"> sous la forme d’une indemnité annuelle des amortissements (plafond de 1,25</w:t>
            </w:r>
            <w:r w:rsidR="009007F3" w:rsidRPr="00FB0D93">
              <w:rPr>
                <w:lang w:val="fr-BE"/>
              </w:rPr>
              <w:t> </w:t>
            </w:r>
            <w:r w:rsidR="00CD00E8" w:rsidRPr="00FB0D93">
              <w:rPr>
                <w:lang w:val="fr-BE"/>
              </w:rPr>
              <w:t>million EUR par an pour toute la Belgique)</w:t>
            </w:r>
          </w:p>
          <w:p w14:paraId="01D7F305" w14:textId="0B542C56" w:rsidR="00027F9B" w:rsidRPr="00FB0D93" w:rsidRDefault="00592E5D" w:rsidP="00342D80">
            <w:pPr>
              <w:pStyle w:val="Listenumros"/>
              <w:widowControl/>
              <w:numPr>
                <w:ilvl w:val="0"/>
                <w:numId w:val="5"/>
              </w:numPr>
              <w:adjustRightInd/>
              <w:jc w:val="left"/>
              <w:textAlignment w:val="auto"/>
              <w:rPr>
                <w:lang w:val="fr-BE"/>
              </w:rPr>
            </w:pPr>
            <w:r w:rsidRPr="00FB0D93">
              <w:rPr>
                <w:lang w:val="fr-BE"/>
              </w:rPr>
              <w:t xml:space="preserve">dans les limites de </w:t>
            </w:r>
            <w:r w:rsidR="00905FA2" w:rsidRPr="00FB0D93">
              <w:rPr>
                <w:lang w:val="fr-BE"/>
              </w:rPr>
              <w:t>l’agrément :</w:t>
            </w:r>
            <w:r w:rsidR="00027F9B" w:rsidRPr="00FB0D93">
              <w:rPr>
                <w:lang w:val="fr-BE"/>
              </w:rPr>
              <w:t xml:space="preserve"> </w:t>
            </w:r>
            <w:r w:rsidRPr="00FB0D93">
              <w:rPr>
                <w:lang w:val="fr-BE"/>
              </w:rPr>
              <w:t xml:space="preserve">collectes </w:t>
            </w:r>
            <w:r w:rsidR="00AB558D" w:rsidRPr="00FB0D93">
              <w:rPr>
                <w:lang w:val="fr-BE"/>
              </w:rPr>
              <w:t>en soirée et les week-ends</w:t>
            </w:r>
          </w:p>
          <w:p w14:paraId="545BB300" w14:textId="3906D859" w:rsidR="00027F9B" w:rsidRPr="00FB0D93" w:rsidRDefault="00027F9B" w:rsidP="00027F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left"/>
              <w:rPr>
                <w:lang w:val="fr-BE"/>
              </w:rPr>
            </w:pPr>
          </w:p>
        </w:tc>
      </w:tr>
      <w:tr w:rsidR="00FB0D93" w:rsidRPr="0086132C" w14:paraId="5B5CE6EE" w14:textId="77777777" w:rsidTr="00C24D2B">
        <w:trPr>
          <w:gridAfter w:val="1"/>
          <w:wAfter w:w="120" w:type="dxa"/>
          <w:cantSplit/>
        </w:trPr>
        <w:tc>
          <w:tcPr>
            <w:tcW w:w="1701" w:type="dxa"/>
            <w:tcBorders>
              <w:top w:val="single" w:sz="4" w:space="0" w:color="auto"/>
              <w:left w:val="single" w:sz="6" w:space="0" w:color="000000"/>
              <w:bottom w:val="single" w:sz="6" w:space="0" w:color="000000"/>
              <w:right w:val="single" w:sz="6" w:space="0" w:color="FFFFFF"/>
            </w:tcBorders>
          </w:tcPr>
          <w:p w14:paraId="41E6A6C0" w14:textId="5E0EB285"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lastRenderedPageBreak/>
              <w:t>P</w:t>
            </w:r>
            <w:r w:rsidR="00CD00E8" w:rsidRPr="00FB0D93">
              <w:rPr>
                <w:lang w:val="fr-BE"/>
              </w:rPr>
              <w:t>+</w:t>
            </w:r>
            <w:r w:rsidRPr="00FB0D93">
              <w:rPr>
                <w:lang w:val="fr-BE"/>
              </w:rPr>
              <w:t>MC</w:t>
            </w:r>
          </w:p>
          <w:p w14:paraId="093A57BE" w14:textId="0982F875" w:rsidR="00602E74" w:rsidRPr="00FB0D93" w:rsidRDefault="00CD00E8" w:rsidP="00C2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Emballages</w:t>
            </w:r>
            <w:r w:rsidR="00602E74" w:rsidRPr="00FB0D93">
              <w:rPr>
                <w:lang w:val="fr-BE"/>
              </w:rPr>
              <w:t xml:space="preserve"> en plastique, emballages métalliques</w:t>
            </w:r>
            <w:r w:rsidR="00C24D2B" w:rsidRPr="00FB0D93">
              <w:rPr>
                <w:lang w:val="fr-BE"/>
              </w:rPr>
              <w:t xml:space="preserve"> et </w:t>
            </w:r>
            <w:r w:rsidR="00602E74" w:rsidRPr="00FB0D93">
              <w:rPr>
                <w:lang w:val="fr-BE"/>
              </w:rPr>
              <w:t>cartons à boissons</w:t>
            </w:r>
            <w:r w:rsidR="00C24D2B" w:rsidRPr="00FB0D93">
              <w:rPr>
                <w:lang w:val="fr-BE"/>
              </w:rPr>
              <w:t xml:space="preserve"> </w:t>
            </w:r>
            <w:r w:rsidR="00602E74" w:rsidRPr="00FB0D93">
              <w:rPr>
                <w:lang w:val="fr-BE"/>
              </w:rPr>
              <w:t>mixtes</w:t>
            </w:r>
          </w:p>
        </w:tc>
        <w:tc>
          <w:tcPr>
            <w:tcW w:w="1821" w:type="dxa"/>
            <w:tcBorders>
              <w:top w:val="single" w:sz="4" w:space="0" w:color="auto"/>
              <w:left w:val="single" w:sz="6" w:space="0" w:color="000000"/>
              <w:bottom w:val="single" w:sz="6" w:space="0" w:color="000000"/>
              <w:right w:val="single" w:sz="6" w:space="0" w:color="FFFFFF"/>
            </w:tcBorders>
          </w:tcPr>
          <w:p w14:paraId="1E44DCB5" w14:textId="6CDD4B28" w:rsidR="00602E74" w:rsidRPr="00FB0D93" w:rsidRDefault="00602E74" w:rsidP="00C24D2B">
            <w:pPr>
              <w:spacing w:line="19" w:lineRule="exact"/>
              <w:jc w:val="left"/>
              <w:rPr>
                <w:lang w:val="fr-BE"/>
              </w:rPr>
            </w:pPr>
          </w:p>
          <w:p w14:paraId="0B139AAB" w14:textId="008261C5" w:rsidR="00CD00E8" w:rsidRPr="00FB0D93" w:rsidRDefault="00CD00E8" w:rsidP="00C24D2B">
            <w:pPr>
              <w:pStyle w:val="Listepuces"/>
              <w:widowControl/>
              <w:numPr>
                <w:ilvl w:val="0"/>
                <w:numId w:val="0"/>
              </w:numPr>
              <w:adjustRightInd/>
              <w:spacing w:before="60" w:after="60" w:line="240" w:lineRule="auto"/>
              <w:ind w:left="199"/>
              <w:jc w:val="left"/>
              <w:textAlignment w:val="auto"/>
              <w:rPr>
                <w:lang w:val="fr-BE"/>
              </w:rPr>
            </w:pPr>
            <w:r w:rsidRPr="00FB0D93">
              <w:rPr>
                <w:lang w:val="fr-BE"/>
              </w:rPr>
              <w:t xml:space="preserve">Enlèvement, soit </w:t>
            </w:r>
          </w:p>
          <w:p w14:paraId="1AFF5D45" w14:textId="24ED7E10" w:rsidR="00CD00E8" w:rsidRPr="00FB0D93" w:rsidRDefault="00C24D2B" w:rsidP="00C24D2B">
            <w:pPr>
              <w:pStyle w:val="Listepuces"/>
              <w:widowControl/>
              <w:adjustRightInd/>
              <w:spacing w:before="60" w:after="60" w:line="240" w:lineRule="auto"/>
              <w:jc w:val="left"/>
              <w:textAlignment w:val="auto"/>
              <w:rPr>
                <w:lang w:val="fr-BE"/>
              </w:rPr>
            </w:pPr>
            <w:r w:rsidRPr="00FB0D93">
              <w:rPr>
                <w:lang w:val="fr-BE"/>
              </w:rPr>
              <w:t>T</w:t>
            </w:r>
            <w:r w:rsidR="00CD00E8" w:rsidRPr="00FB0D93">
              <w:rPr>
                <w:lang w:val="fr-BE"/>
              </w:rPr>
              <w:t xml:space="preserve">outes les deux semaines </w:t>
            </w:r>
          </w:p>
          <w:p w14:paraId="0A214DEB" w14:textId="44B8E39F" w:rsidR="00CD00E8" w:rsidRPr="00FB0D93" w:rsidRDefault="00C24D2B" w:rsidP="00C24D2B">
            <w:pPr>
              <w:pStyle w:val="Listepuces"/>
              <w:widowControl/>
              <w:adjustRightInd/>
              <w:spacing w:before="60" w:after="60" w:line="240" w:lineRule="auto"/>
              <w:jc w:val="left"/>
              <w:textAlignment w:val="auto"/>
              <w:rPr>
                <w:lang w:val="fr-BE"/>
              </w:rPr>
            </w:pPr>
            <w:r w:rsidRPr="00FB0D93">
              <w:rPr>
                <w:lang w:val="fr-BE"/>
              </w:rPr>
              <w:t>T</w:t>
            </w:r>
            <w:r w:rsidR="00CD00E8" w:rsidRPr="00FB0D93">
              <w:rPr>
                <w:lang w:val="fr-BE"/>
              </w:rPr>
              <w:t>outes les semaines (moyennant motivation) pour les communes d’au moins 100.000 habitants ou avec une densité de population moyenne de 1000</w:t>
            </w:r>
            <w:r w:rsidRPr="00FB0D93">
              <w:rPr>
                <w:lang w:val="fr-BE"/>
              </w:rPr>
              <w:t> </w:t>
            </w:r>
            <w:r w:rsidR="00CD00E8" w:rsidRPr="00FB0D93">
              <w:rPr>
                <w:lang w:val="fr-BE"/>
              </w:rPr>
              <w:t>habitants/km²</w:t>
            </w:r>
          </w:p>
          <w:p w14:paraId="0AD1D7A7" w14:textId="77777777" w:rsidR="00C24D2B" w:rsidRPr="00FB0D93" w:rsidRDefault="00C24D2B" w:rsidP="00C24D2B">
            <w:pPr>
              <w:pStyle w:val="Listepuces"/>
              <w:widowControl/>
              <w:numPr>
                <w:ilvl w:val="0"/>
                <w:numId w:val="0"/>
              </w:numPr>
              <w:adjustRightInd/>
              <w:spacing w:before="60" w:after="60" w:line="240" w:lineRule="auto"/>
              <w:ind w:left="199"/>
              <w:jc w:val="left"/>
              <w:textAlignment w:val="auto"/>
              <w:rPr>
                <w:lang w:val="fr-BE"/>
              </w:rPr>
            </w:pPr>
          </w:p>
          <w:p w14:paraId="52D3C692" w14:textId="3457550F" w:rsidR="00602E74" w:rsidRPr="00FB0D93" w:rsidRDefault="00602E74" w:rsidP="00C2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left"/>
              <w:rPr>
                <w:lang w:val="fr-BE"/>
              </w:rPr>
            </w:pPr>
            <w:r w:rsidRPr="00FB0D93">
              <w:rPr>
                <w:lang w:val="fr-BE"/>
              </w:rPr>
              <w:t>dans des sacs PMC uniformes vendus par l’</w:t>
            </w:r>
            <w:r w:rsidR="001712DE" w:rsidRPr="00FB0D93">
              <w:rPr>
                <w:lang w:val="fr-BE"/>
              </w:rPr>
              <w:t>intercommunale</w:t>
            </w:r>
            <w:r w:rsidRPr="00FB0D93">
              <w:rPr>
                <w:lang w:val="fr-BE"/>
              </w:rPr>
              <w:t xml:space="preserve"> aux citoyens </w:t>
            </w:r>
            <w:r w:rsidR="00CD00E8" w:rsidRPr="00FB0D93">
              <w:rPr>
                <w:lang w:val="fr-BE"/>
              </w:rPr>
              <w:t>(</w:t>
            </w:r>
            <w:r w:rsidRPr="00FB0D93">
              <w:rPr>
                <w:lang w:val="fr-BE"/>
              </w:rPr>
              <w:t xml:space="preserve">prix uniforme </w:t>
            </w:r>
            <w:r w:rsidR="00CD00E8" w:rsidRPr="00FB0D93">
              <w:rPr>
                <w:lang w:val="fr-BE"/>
              </w:rPr>
              <w:t>par</w:t>
            </w:r>
            <w:r w:rsidR="00843AF4" w:rsidRPr="00FB0D93">
              <w:rPr>
                <w:lang w:val="fr-BE"/>
              </w:rPr>
              <w:t xml:space="preserve"> </w:t>
            </w:r>
            <w:r w:rsidR="006505B1" w:rsidRPr="00FB0D93">
              <w:rPr>
                <w:lang w:val="fr-BE"/>
              </w:rPr>
              <w:t>i</w:t>
            </w:r>
            <w:r w:rsidRPr="00FB0D93">
              <w:rPr>
                <w:lang w:val="fr-BE"/>
              </w:rPr>
              <w:t>ntercommunale</w:t>
            </w:r>
            <w:r w:rsidR="00780038" w:rsidRPr="00FB0D93">
              <w:rPr>
                <w:lang w:val="fr-BE"/>
              </w:rPr>
              <w:t>,</w:t>
            </w:r>
            <w:r w:rsidRPr="00FB0D93">
              <w:rPr>
                <w:lang w:val="fr-BE"/>
              </w:rPr>
              <w:t xml:space="preserve"> </w:t>
            </w:r>
            <w:r w:rsidR="006505B1" w:rsidRPr="00FB0D93">
              <w:rPr>
                <w:lang w:val="fr-BE"/>
              </w:rPr>
              <w:t>avec</w:t>
            </w:r>
            <w:r w:rsidR="008302BE">
              <w:rPr>
                <w:lang w:val="fr-BE"/>
              </w:rPr>
              <w:t xml:space="preserve"> </w:t>
            </w:r>
            <w:r w:rsidR="006505B1" w:rsidRPr="00FB0D93">
              <w:rPr>
                <w:lang w:val="fr-BE"/>
              </w:rPr>
              <w:t>un</w:t>
            </w:r>
            <w:r w:rsidR="00780038" w:rsidRPr="00FB0D93">
              <w:rPr>
                <w:lang w:val="fr-BE"/>
              </w:rPr>
              <w:t xml:space="preserve"> maximum </w:t>
            </w:r>
            <w:r w:rsidR="001712DE" w:rsidRPr="00FB0D93">
              <w:rPr>
                <w:lang w:val="fr-BE"/>
              </w:rPr>
              <w:t xml:space="preserve">de </w:t>
            </w:r>
            <w:r w:rsidRPr="00FB0D93">
              <w:rPr>
                <w:lang w:val="fr-BE"/>
              </w:rPr>
              <w:t>0,25 €/pièce)</w:t>
            </w:r>
          </w:p>
          <w:p w14:paraId="1E5B14CA" w14:textId="4E9B200E" w:rsidR="00CD00E8" w:rsidRPr="00FB0D93" w:rsidRDefault="00C24D2B" w:rsidP="00C2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jc w:val="left"/>
              <w:rPr>
                <w:lang w:val="fr-BE"/>
              </w:rPr>
            </w:pPr>
            <w:r w:rsidRPr="00FB0D93">
              <w:rPr>
                <w:lang w:val="fr-BE"/>
              </w:rPr>
              <w:t>a</w:t>
            </w:r>
            <w:r w:rsidR="00CD00E8" w:rsidRPr="00FB0D93">
              <w:rPr>
                <w:lang w:val="fr-BE"/>
              </w:rPr>
              <w:t>insi que, si d’application, l</w:t>
            </w:r>
            <w:r w:rsidR="009170C7" w:rsidRPr="00FB0D93">
              <w:rPr>
                <w:lang w:val="fr-BE"/>
              </w:rPr>
              <w:t>a</w:t>
            </w:r>
            <w:r w:rsidR="00CD00E8" w:rsidRPr="00FB0D93">
              <w:rPr>
                <w:lang w:val="fr-BE"/>
              </w:rPr>
              <w:t xml:space="preserve"> vidange de conteneurs de 1.100 litres auprès d’écoles, </w:t>
            </w:r>
            <w:r w:rsidR="00110C85" w:rsidRPr="00FB0D93">
              <w:rPr>
                <w:lang w:val="fr-BE"/>
              </w:rPr>
              <w:t>d’immeubles</w:t>
            </w:r>
            <w:r w:rsidR="00CD00E8" w:rsidRPr="00FB0D93">
              <w:rPr>
                <w:lang w:val="fr-BE"/>
              </w:rPr>
              <w:t xml:space="preserve"> à étages et de points de </w:t>
            </w:r>
            <w:r w:rsidR="00905FA2" w:rsidRPr="00FB0D93">
              <w:rPr>
                <w:lang w:val="fr-BE"/>
              </w:rPr>
              <w:t>ramassage</w:t>
            </w:r>
            <w:r w:rsidR="00CD00E8" w:rsidRPr="00FB0D93">
              <w:rPr>
                <w:lang w:val="fr-BE"/>
              </w:rPr>
              <w:t xml:space="preserve"> groupés de ménages </w:t>
            </w:r>
          </w:p>
          <w:p w14:paraId="2175BF6F" w14:textId="77777777" w:rsidR="00602E74" w:rsidRPr="00FB0D93" w:rsidRDefault="00602E74" w:rsidP="00C24D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jc w:val="left"/>
              <w:rPr>
                <w:lang w:val="fr-BE"/>
              </w:rPr>
            </w:pPr>
          </w:p>
        </w:tc>
        <w:tc>
          <w:tcPr>
            <w:tcW w:w="1985" w:type="dxa"/>
            <w:tcBorders>
              <w:top w:val="single" w:sz="4" w:space="0" w:color="auto"/>
              <w:left w:val="single" w:sz="6" w:space="0" w:color="000000"/>
              <w:bottom w:val="single" w:sz="6" w:space="0" w:color="000000"/>
              <w:right w:val="single" w:sz="6" w:space="0" w:color="FFFFFF"/>
            </w:tcBorders>
          </w:tcPr>
          <w:p w14:paraId="3D3DCA7C" w14:textId="77777777" w:rsidR="00602E74" w:rsidRPr="00FB0D93" w:rsidRDefault="00602E74" w:rsidP="00602E74">
            <w:pPr>
              <w:spacing w:line="19" w:lineRule="exact"/>
              <w:jc w:val="left"/>
              <w:rPr>
                <w:lang w:val="fr-BE"/>
              </w:rPr>
            </w:pPr>
          </w:p>
          <w:p w14:paraId="359E5278" w14:textId="636E1CB6" w:rsidR="00CD00E8" w:rsidRPr="00FB0D93" w:rsidRDefault="00C24D2B" w:rsidP="00CD0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-L</w:t>
            </w:r>
            <w:r w:rsidR="00CD00E8" w:rsidRPr="00FB0D93">
              <w:rPr>
                <w:lang w:val="fr-BE"/>
              </w:rPr>
              <w:t>e cas échéant par le biais d’un système d’apport à courte distance au lieu d’une collecte en porte-à-porte</w:t>
            </w:r>
          </w:p>
          <w:p w14:paraId="68668B89" w14:textId="11A40D51" w:rsidR="00CD00E8" w:rsidRPr="00FB0D93" w:rsidRDefault="00CD00E8" w:rsidP="00CD0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w:t>
            </w:r>
            <w:r w:rsidR="00C24D2B" w:rsidRPr="00FB0D93">
              <w:rPr>
                <w:lang w:val="fr-BE"/>
              </w:rPr>
              <w:t>L</w:t>
            </w:r>
            <w:r w:rsidRPr="00FB0D93">
              <w:rPr>
                <w:lang w:val="fr-BE"/>
              </w:rPr>
              <w:t xml:space="preserve">e cas échéant complété par des conteneurs </w:t>
            </w:r>
            <w:r w:rsidR="007E0214" w:rsidRPr="00FB0D93">
              <w:rPr>
                <w:lang w:val="fr-BE"/>
              </w:rPr>
              <w:t>fixes</w:t>
            </w:r>
            <w:r w:rsidRPr="00FB0D93">
              <w:rPr>
                <w:lang w:val="fr-BE"/>
              </w:rPr>
              <w:t xml:space="preserve"> dans les </w:t>
            </w:r>
            <w:r w:rsidR="005F42D9" w:rsidRPr="00FB0D93">
              <w:rPr>
                <w:lang w:val="fr-BE"/>
              </w:rPr>
              <w:t>recyparcs</w:t>
            </w:r>
          </w:p>
          <w:p w14:paraId="63B66C53" w14:textId="77777777" w:rsidR="00CD00E8" w:rsidRPr="00FB0D93" w:rsidRDefault="00CD00E8" w:rsidP="00CD0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p>
          <w:p w14:paraId="068DC3A1" w14:textId="4B0C8661"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jc w:val="left"/>
              <w:rPr>
                <w:strike/>
                <w:lang w:val="fr-BE"/>
              </w:rPr>
            </w:pPr>
          </w:p>
        </w:tc>
        <w:tc>
          <w:tcPr>
            <w:tcW w:w="3424" w:type="dxa"/>
            <w:tcBorders>
              <w:top w:val="single" w:sz="4" w:space="0" w:color="auto"/>
              <w:left w:val="single" w:sz="6" w:space="0" w:color="000000"/>
              <w:bottom w:val="single" w:sz="6" w:space="0" w:color="000000"/>
              <w:right w:val="single" w:sz="6" w:space="0" w:color="000000"/>
            </w:tcBorders>
          </w:tcPr>
          <w:p w14:paraId="07969D08" w14:textId="77777777" w:rsidR="00602E74" w:rsidRPr="00FB0D93" w:rsidRDefault="00602E74" w:rsidP="00602E74">
            <w:pPr>
              <w:spacing w:line="19" w:lineRule="exact"/>
              <w:jc w:val="left"/>
              <w:rPr>
                <w:lang w:val="fr-BE"/>
              </w:rPr>
            </w:pPr>
          </w:p>
          <w:p w14:paraId="3812EF75" w14:textId="1A1E9415" w:rsidR="00602E74"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c</w:t>
            </w:r>
            <w:r w:rsidR="00602E74" w:rsidRPr="00FB0D93">
              <w:rPr>
                <w:lang w:val="fr-BE"/>
              </w:rPr>
              <w:t>ollecte en porte-à-porte</w:t>
            </w:r>
            <w:r w:rsidR="00CD00E8" w:rsidRPr="00FB0D93">
              <w:rPr>
                <w:lang w:val="fr-BE"/>
              </w:rPr>
              <w:t xml:space="preserve"> ou système d’apport de remplacement à courte distanc</w:t>
            </w:r>
            <w:r w:rsidR="007E0214" w:rsidRPr="00FB0D93">
              <w:rPr>
                <w:lang w:val="fr-BE"/>
              </w:rPr>
              <w:t>e</w:t>
            </w:r>
          </w:p>
          <w:p w14:paraId="768FCCAE" w14:textId="2C53ED78" w:rsidR="00CD00E8"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CD00E8" w:rsidRPr="00FB0D93">
              <w:rPr>
                <w:lang w:val="fr-BE"/>
              </w:rPr>
              <w:t>ransport du PMC jusqu’au centre de tri ou à une station de transbordement (y compris pesage et vidange)</w:t>
            </w:r>
          </w:p>
          <w:p w14:paraId="70D9981B" w14:textId="1B9F9A1C" w:rsidR="00CD00E8"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CD00E8" w:rsidRPr="00FB0D93">
              <w:rPr>
                <w:lang w:val="fr-BE"/>
              </w:rPr>
              <w:t>ransbordement du PMC (le cas échéant)</w:t>
            </w:r>
          </w:p>
          <w:p w14:paraId="49D244B6" w14:textId="26D07371" w:rsidR="00602E74"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602E74" w:rsidRPr="00FB0D93">
              <w:rPr>
                <w:lang w:val="fr-BE"/>
              </w:rPr>
              <w:t xml:space="preserve">ransport vers le </w:t>
            </w:r>
            <w:r w:rsidR="00780038" w:rsidRPr="00FB0D93">
              <w:rPr>
                <w:lang w:val="fr-BE"/>
              </w:rPr>
              <w:t>C</w:t>
            </w:r>
            <w:r w:rsidR="00602E74" w:rsidRPr="00FB0D93">
              <w:rPr>
                <w:lang w:val="fr-BE"/>
              </w:rPr>
              <w:t xml:space="preserve">entre de </w:t>
            </w:r>
            <w:r w:rsidR="00780038" w:rsidRPr="00FB0D93">
              <w:rPr>
                <w:lang w:val="fr-BE"/>
              </w:rPr>
              <w:t>T</w:t>
            </w:r>
            <w:r w:rsidR="00602E74" w:rsidRPr="00FB0D93">
              <w:rPr>
                <w:lang w:val="fr-BE"/>
              </w:rPr>
              <w:t>ri (</w:t>
            </w:r>
            <w:r w:rsidR="00CD00E8" w:rsidRPr="00FB0D93">
              <w:rPr>
                <w:lang w:val="fr-BE"/>
              </w:rPr>
              <w:t>le cas échéant</w:t>
            </w:r>
            <w:r w:rsidR="00602E74" w:rsidRPr="00FB0D93">
              <w:rPr>
                <w:lang w:val="fr-BE"/>
              </w:rPr>
              <w:t>)</w:t>
            </w:r>
          </w:p>
          <w:p w14:paraId="22A2C8B8" w14:textId="1A82450A" w:rsidR="00602E74"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602E74" w:rsidRPr="00FB0D93">
              <w:rPr>
                <w:lang w:val="fr-BE"/>
              </w:rPr>
              <w:t xml:space="preserve">ri en </w:t>
            </w:r>
            <w:r w:rsidR="00CD00E8" w:rsidRPr="00FB0D93">
              <w:rPr>
                <w:lang w:val="fr-BE"/>
              </w:rPr>
              <w:t>14</w:t>
            </w:r>
            <w:r w:rsidR="00602E74" w:rsidRPr="00FB0D93">
              <w:rPr>
                <w:lang w:val="fr-BE"/>
              </w:rPr>
              <w:t xml:space="preserve"> fractions et conditionnement du matériau selon les spécifications </w:t>
            </w:r>
            <w:r w:rsidR="00177760" w:rsidRPr="00FB0D93">
              <w:rPr>
                <w:lang w:val="fr-BE"/>
              </w:rPr>
              <w:t xml:space="preserve">du </w:t>
            </w:r>
            <w:r w:rsidR="00602E74" w:rsidRPr="00FB0D93">
              <w:rPr>
                <w:lang w:val="fr-BE"/>
              </w:rPr>
              <w:t>matériau</w:t>
            </w:r>
          </w:p>
          <w:p w14:paraId="59FB0313" w14:textId="710C9B9A" w:rsidR="00602E74"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602E74" w:rsidRPr="00FB0D93">
              <w:rPr>
                <w:lang w:val="fr-BE"/>
              </w:rPr>
              <w:t>ransport et traitement du résidu dans une unité de traitement</w:t>
            </w:r>
          </w:p>
          <w:p w14:paraId="15F6B139" w14:textId="6EB79A5E" w:rsidR="00CD00E8"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l</w:t>
            </w:r>
            <w:r w:rsidR="00CD00E8" w:rsidRPr="00FB0D93">
              <w:rPr>
                <w:lang w:val="fr-BE"/>
              </w:rPr>
              <w:t xml:space="preserve">ocation/amortissement des conteneurs </w:t>
            </w:r>
            <w:r w:rsidR="007E0214" w:rsidRPr="00FB0D93">
              <w:rPr>
                <w:lang w:val="fr-BE"/>
              </w:rPr>
              <w:t>fixes dans le</w:t>
            </w:r>
            <w:r w:rsidR="00CD00E8" w:rsidRPr="00FB0D93">
              <w:rPr>
                <w:lang w:val="fr-BE"/>
              </w:rPr>
              <w:t xml:space="preserve"> </w:t>
            </w:r>
            <w:r w:rsidR="003911C3" w:rsidRPr="00FB0D93">
              <w:rPr>
                <w:lang w:val="fr-BE"/>
              </w:rPr>
              <w:t>recyparc</w:t>
            </w:r>
            <w:r w:rsidR="00CD00E8" w:rsidRPr="00FB0D93">
              <w:rPr>
                <w:lang w:val="fr-BE"/>
              </w:rPr>
              <w:t xml:space="preserve"> (le cas échéant)</w:t>
            </w:r>
          </w:p>
          <w:p w14:paraId="0DB1CDA4" w14:textId="5B686226" w:rsidR="00602E74"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513BA7" w:rsidRPr="00FB0D93">
              <w:rPr>
                <w:lang w:val="fr-BE"/>
              </w:rPr>
              <w:t>ransport du conteneur vers une station de transbordement ou un centre de tri</w:t>
            </w:r>
          </w:p>
          <w:p w14:paraId="792AC8F8" w14:textId="519737BB" w:rsidR="00602E74" w:rsidRPr="00FB0D93" w:rsidRDefault="00C24D2B" w:rsidP="00F65E6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513BA7" w:rsidRPr="00FB0D93">
              <w:rPr>
                <w:lang w:val="fr-BE"/>
              </w:rPr>
              <w:t>raitement administratif et transfert des données</w:t>
            </w:r>
            <w:r w:rsidR="00602E74" w:rsidRPr="00FB0D93">
              <w:rPr>
                <w:lang w:val="fr-BE"/>
              </w:rPr>
              <w:t xml:space="preserve"> </w:t>
            </w:r>
          </w:p>
          <w:p w14:paraId="01B95089" w14:textId="4FECE1D5" w:rsidR="00F65E67" w:rsidRPr="00FB0D93" w:rsidRDefault="00592E5D" w:rsidP="00F65E67">
            <w:pPr>
              <w:pStyle w:val="Listenumros"/>
              <w:widowControl/>
              <w:numPr>
                <w:ilvl w:val="0"/>
                <w:numId w:val="6"/>
              </w:numPr>
              <w:adjustRightInd/>
              <w:jc w:val="left"/>
              <w:textAlignment w:val="auto"/>
              <w:rPr>
                <w:lang w:val="fr-BE"/>
              </w:rPr>
            </w:pPr>
            <w:r w:rsidRPr="00FB0D93">
              <w:rPr>
                <w:lang w:val="fr-BE"/>
              </w:rPr>
              <w:t xml:space="preserve">dans les limites de </w:t>
            </w:r>
            <w:r w:rsidR="00905FA2" w:rsidRPr="00FB0D93">
              <w:rPr>
                <w:lang w:val="fr-BE"/>
              </w:rPr>
              <w:t>l’agrément :</w:t>
            </w:r>
            <w:r w:rsidR="00F65E67" w:rsidRPr="00FB0D93">
              <w:rPr>
                <w:lang w:val="fr-BE"/>
              </w:rPr>
              <w:t xml:space="preserve"> </w:t>
            </w:r>
            <w:r w:rsidRPr="00FB0D93">
              <w:rPr>
                <w:lang w:val="fr-BE"/>
              </w:rPr>
              <w:t xml:space="preserve">collectes </w:t>
            </w:r>
            <w:r w:rsidR="00E3182D" w:rsidRPr="00FB0D93">
              <w:rPr>
                <w:lang w:val="fr-BE"/>
              </w:rPr>
              <w:t>en soirée</w:t>
            </w:r>
            <w:r w:rsidRPr="00FB0D93">
              <w:rPr>
                <w:lang w:val="fr-BE"/>
              </w:rPr>
              <w:t xml:space="preserve"> et</w:t>
            </w:r>
            <w:r w:rsidR="00AB558D" w:rsidRPr="00FB0D93">
              <w:rPr>
                <w:lang w:val="fr-BE"/>
              </w:rPr>
              <w:t xml:space="preserve"> les week-ends </w:t>
            </w:r>
          </w:p>
          <w:p w14:paraId="3141E62A" w14:textId="77777777" w:rsidR="00F65E67" w:rsidRPr="00FB0D93" w:rsidRDefault="00F65E67" w:rsidP="00F65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left"/>
              <w:rPr>
                <w:lang w:val="fr-BE"/>
              </w:rPr>
            </w:pPr>
          </w:p>
          <w:p w14:paraId="796CBB5D" w14:textId="77777777" w:rsidR="00602E74" w:rsidRPr="00FB0D93" w:rsidRDefault="00602E74" w:rsidP="00602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p>
        </w:tc>
      </w:tr>
      <w:tr w:rsidR="00FB0D93" w:rsidRPr="0086132C" w14:paraId="71842022" w14:textId="77777777" w:rsidTr="00514927">
        <w:tc>
          <w:tcPr>
            <w:tcW w:w="1701" w:type="dxa"/>
            <w:tcBorders>
              <w:top w:val="single" w:sz="6" w:space="0" w:color="000000"/>
              <w:left w:val="single" w:sz="6" w:space="0" w:color="000000"/>
              <w:bottom w:val="single" w:sz="4" w:space="0" w:color="auto"/>
              <w:right w:val="single" w:sz="6" w:space="0" w:color="FFFFFF"/>
            </w:tcBorders>
          </w:tcPr>
          <w:p w14:paraId="603F255E" w14:textId="150F9872" w:rsidR="00514927" w:rsidRPr="00FB0D93" w:rsidRDefault="00514927" w:rsidP="00514927">
            <w:pPr>
              <w:spacing w:before="60" w:after="60" w:line="240" w:lineRule="auto"/>
              <w:jc w:val="left"/>
              <w:rPr>
                <w:lang w:val="fr-BE"/>
              </w:rPr>
            </w:pPr>
            <w:r w:rsidRPr="00FB0D93">
              <w:rPr>
                <w:lang w:val="fr-BE"/>
              </w:rPr>
              <w:t>Papier-carton &amp; PMC</w:t>
            </w:r>
          </w:p>
          <w:p w14:paraId="7189676E" w14:textId="7F478198" w:rsidR="00514927" w:rsidRPr="00FB0D93" w:rsidRDefault="00514927" w:rsidP="00514927">
            <w:pPr>
              <w:spacing w:before="60" w:after="60" w:line="240" w:lineRule="auto"/>
              <w:jc w:val="left"/>
              <w:rPr>
                <w:lang w:val="fr-BE"/>
              </w:rPr>
            </w:pPr>
            <w:r w:rsidRPr="00FB0D93">
              <w:rPr>
                <w:lang w:val="fr-BE"/>
              </w:rPr>
              <w:t xml:space="preserve">Papier-carton : Emballages et non-emballages ; financement de </w:t>
            </w:r>
            <w:r w:rsidR="007E0214" w:rsidRPr="00FB0D93">
              <w:rPr>
                <w:lang w:val="fr-BE"/>
              </w:rPr>
              <w:t>44</w:t>
            </w:r>
            <w:r w:rsidRPr="00FB0D93">
              <w:rPr>
                <w:lang w:val="fr-BE"/>
              </w:rPr>
              <w:t> % du coût total</w:t>
            </w:r>
          </w:p>
        </w:tc>
        <w:tc>
          <w:tcPr>
            <w:tcW w:w="1821" w:type="dxa"/>
            <w:tcBorders>
              <w:top w:val="single" w:sz="6" w:space="0" w:color="000000"/>
              <w:left w:val="single" w:sz="6" w:space="0" w:color="000000"/>
              <w:bottom w:val="single" w:sz="4" w:space="0" w:color="auto"/>
              <w:right w:val="single" w:sz="6" w:space="0" w:color="FFFFFF"/>
            </w:tcBorders>
          </w:tcPr>
          <w:p w14:paraId="3F51D076" w14:textId="3E07C091" w:rsidR="00514927" w:rsidRPr="00FB0D93" w:rsidRDefault="00514927" w:rsidP="00514927">
            <w:pPr>
              <w:spacing w:before="60" w:after="60" w:line="240" w:lineRule="auto"/>
              <w:jc w:val="left"/>
              <w:rPr>
                <w:lang w:val="fr-BE"/>
              </w:rPr>
            </w:pPr>
            <w:r w:rsidRPr="00FB0D93">
              <w:rPr>
                <w:lang w:val="fr-BE"/>
              </w:rPr>
              <w:t xml:space="preserve">Collecte en duo dans des camions de collecte compartimentés, </w:t>
            </w:r>
            <w:r w:rsidR="00C24D2B" w:rsidRPr="00FB0D93">
              <w:rPr>
                <w:lang w:val="fr-BE"/>
              </w:rPr>
              <w:t>t</w:t>
            </w:r>
            <w:r w:rsidRPr="00FB0D93">
              <w:rPr>
                <w:lang w:val="fr-BE"/>
              </w:rPr>
              <w:t>outes les deux semaines</w:t>
            </w:r>
          </w:p>
        </w:tc>
        <w:tc>
          <w:tcPr>
            <w:tcW w:w="1985" w:type="dxa"/>
            <w:tcBorders>
              <w:top w:val="single" w:sz="6" w:space="0" w:color="000000"/>
              <w:left w:val="single" w:sz="6" w:space="0" w:color="000000"/>
              <w:bottom w:val="single" w:sz="4" w:space="0" w:color="auto"/>
              <w:right w:val="single" w:sz="6" w:space="0" w:color="FFFFFF"/>
            </w:tcBorders>
          </w:tcPr>
          <w:p w14:paraId="117D5E17" w14:textId="4F98A466" w:rsidR="007E0214" w:rsidRPr="00FB0D93" w:rsidRDefault="002E7580" w:rsidP="007E0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strike/>
                <w:lang w:val="fr-BE"/>
              </w:rPr>
              <w:t>-</w:t>
            </w:r>
            <w:r w:rsidR="00C24D2B" w:rsidRPr="00FB0D93">
              <w:rPr>
                <w:lang w:val="fr-BE"/>
              </w:rPr>
              <w:t>L</w:t>
            </w:r>
            <w:r w:rsidR="007E0214" w:rsidRPr="00FB0D93">
              <w:rPr>
                <w:lang w:val="fr-BE"/>
              </w:rPr>
              <w:t>e cas échéant par le biais d’un système d’apport à courte distance au lieu d’une collecte en porte-à-porte</w:t>
            </w:r>
          </w:p>
          <w:p w14:paraId="118F5D71" w14:textId="073E73E9" w:rsidR="007E0214" w:rsidRPr="00FB0D93" w:rsidRDefault="007E0214" w:rsidP="007E0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fr-BE"/>
              </w:rPr>
            </w:pPr>
            <w:r w:rsidRPr="00FB0D93">
              <w:rPr>
                <w:lang w:val="fr-BE"/>
              </w:rPr>
              <w:t>-</w:t>
            </w:r>
            <w:r w:rsidR="00C24D2B" w:rsidRPr="00FB0D93">
              <w:rPr>
                <w:lang w:val="fr-BE"/>
              </w:rPr>
              <w:t>L</w:t>
            </w:r>
            <w:r w:rsidRPr="00FB0D93">
              <w:rPr>
                <w:lang w:val="fr-BE"/>
              </w:rPr>
              <w:t xml:space="preserve">e cas échéant complété par des conteneurs fixes dans les </w:t>
            </w:r>
            <w:r w:rsidR="005F42D9" w:rsidRPr="00FB0D93">
              <w:rPr>
                <w:lang w:val="fr-BE"/>
              </w:rPr>
              <w:t>recyparcs</w:t>
            </w:r>
          </w:p>
          <w:p w14:paraId="40B70F1E" w14:textId="6493B46B" w:rsidR="00514927" w:rsidRPr="00FB0D93" w:rsidRDefault="00514927" w:rsidP="00514927">
            <w:pPr>
              <w:spacing w:before="60" w:after="60" w:line="240" w:lineRule="auto"/>
              <w:jc w:val="left"/>
              <w:rPr>
                <w:lang w:val="fr-BE"/>
              </w:rPr>
            </w:pPr>
          </w:p>
        </w:tc>
        <w:tc>
          <w:tcPr>
            <w:tcW w:w="3544" w:type="dxa"/>
            <w:gridSpan w:val="2"/>
            <w:tcBorders>
              <w:top w:val="single" w:sz="6" w:space="0" w:color="000000"/>
              <w:left w:val="single" w:sz="6" w:space="0" w:color="000000"/>
              <w:bottom w:val="single" w:sz="4" w:space="0" w:color="auto"/>
              <w:right w:val="single" w:sz="6" w:space="0" w:color="000000"/>
            </w:tcBorders>
          </w:tcPr>
          <w:p w14:paraId="49CBB9FB" w14:textId="0BC91F9F" w:rsidR="00514927" w:rsidRPr="00FB0D93" w:rsidRDefault="00177760" w:rsidP="00F65E67">
            <w:pPr>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lang w:val="fr-BE"/>
              </w:rPr>
            </w:pPr>
            <w:r w:rsidRPr="00FB0D93">
              <w:rPr>
                <w:lang w:val="fr-BE"/>
              </w:rPr>
              <w:t xml:space="preserve">collecte </w:t>
            </w:r>
            <w:r w:rsidR="00514927" w:rsidRPr="00FB0D93">
              <w:rPr>
                <w:lang w:val="fr-BE"/>
              </w:rPr>
              <w:t>en porte-à-porte</w:t>
            </w:r>
            <w:r w:rsidR="007E0214" w:rsidRPr="00FB0D93">
              <w:rPr>
                <w:lang w:val="fr-BE"/>
              </w:rPr>
              <w:t xml:space="preserve"> ou système d’apport de remplacement à courte distance</w:t>
            </w:r>
          </w:p>
          <w:p w14:paraId="27AAA1FC" w14:textId="43A9036A" w:rsidR="00514927" w:rsidRPr="00FB0D93" w:rsidRDefault="00177760" w:rsidP="00F65E67">
            <w:pPr>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lang w:val="fr-BE"/>
              </w:rPr>
            </w:pPr>
            <w:r w:rsidRPr="00FB0D93">
              <w:rPr>
                <w:lang w:val="fr-BE"/>
              </w:rPr>
              <w:t>t</w:t>
            </w:r>
            <w:r w:rsidR="00514927" w:rsidRPr="00FB0D93">
              <w:rPr>
                <w:lang w:val="fr-BE"/>
              </w:rPr>
              <w:t>ransport vers 1 lieu de livraison central (y compris pesée et vidange)</w:t>
            </w:r>
          </w:p>
          <w:p w14:paraId="5815052E" w14:textId="5A406751" w:rsidR="00514927" w:rsidRPr="00FB0D93" w:rsidRDefault="00177760" w:rsidP="00F65E67">
            <w:pPr>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lang w:val="fr-BE"/>
              </w:rPr>
            </w:pPr>
            <w:r w:rsidRPr="00FB0D93">
              <w:rPr>
                <w:lang w:val="fr-BE"/>
              </w:rPr>
              <w:t xml:space="preserve">transbordement </w:t>
            </w:r>
            <w:r w:rsidR="00514927" w:rsidRPr="00FB0D93">
              <w:rPr>
                <w:lang w:val="fr-BE"/>
              </w:rPr>
              <w:t>du papier</w:t>
            </w:r>
            <w:r w:rsidR="005121A8" w:rsidRPr="00FB0D93">
              <w:rPr>
                <w:lang w:val="fr-BE"/>
              </w:rPr>
              <w:noBreakHyphen/>
            </w:r>
            <w:r w:rsidR="00514927" w:rsidRPr="00FB0D93">
              <w:rPr>
                <w:lang w:val="fr-BE"/>
              </w:rPr>
              <w:t>carton et du PMC</w:t>
            </w:r>
          </w:p>
          <w:p w14:paraId="39749E3D" w14:textId="6B62FE37" w:rsidR="00514927" w:rsidRPr="00FB0D93" w:rsidRDefault="00177760" w:rsidP="00F65E67">
            <w:pPr>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lang w:val="fr-BE"/>
              </w:rPr>
            </w:pPr>
            <w:r w:rsidRPr="00FB0D93">
              <w:rPr>
                <w:lang w:val="fr-BE"/>
              </w:rPr>
              <w:t xml:space="preserve">transport </w:t>
            </w:r>
            <w:r w:rsidR="00514927" w:rsidRPr="00FB0D93">
              <w:rPr>
                <w:lang w:val="fr-BE"/>
              </w:rPr>
              <w:t>du papier-carton vers l’acquéreur de papier-carton et du PMC vers le centre de tri</w:t>
            </w:r>
          </w:p>
          <w:p w14:paraId="49E74C8C" w14:textId="4276BEC5" w:rsidR="00514927" w:rsidRPr="00FB0D93" w:rsidRDefault="00177760" w:rsidP="00F65E67">
            <w:pPr>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lang w:val="fr-BE"/>
              </w:rPr>
            </w:pPr>
            <w:r w:rsidRPr="00FB0D93">
              <w:rPr>
                <w:lang w:val="fr-BE"/>
              </w:rPr>
              <w:t xml:space="preserve">tri </w:t>
            </w:r>
            <w:r w:rsidR="00514927" w:rsidRPr="00FB0D93">
              <w:rPr>
                <w:lang w:val="fr-BE"/>
              </w:rPr>
              <w:t xml:space="preserve">en </w:t>
            </w:r>
            <w:r w:rsidR="007E0214" w:rsidRPr="00FB0D93">
              <w:rPr>
                <w:lang w:val="fr-BE"/>
              </w:rPr>
              <w:t>14</w:t>
            </w:r>
            <w:r w:rsidR="00514927" w:rsidRPr="00FB0D93">
              <w:rPr>
                <w:lang w:val="fr-BE"/>
              </w:rPr>
              <w:t xml:space="preserve"> fractions et conditionnement du matériau conformément aux spécifications du matériau</w:t>
            </w:r>
          </w:p>
          <w:p w14:paraId="49706E27" w14:textId="5F5B6112" w:rsidR="00514927" w:rsidRPr="00FB0D93" w:rsidRDefault="00177760" w:rsidP="00F65E67">
            <w:pPr>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lang w:val="fr-BE"/>
              </w:rPr>
            </w:pPr>
            <w:r w:rsidRPr="00FB0D93">
              <w:rPr>
                <w:lang w:val="fr-BE"/>
              </w:rPr>
              <w:lastRenderedPageBreak/>
              <w:t xml:space="preserve">transport </w:t>
            </w:r>
            <w:r w:rsidR="00514927" w:rsidRPr="00FB0D93">
              <w:rPr>
                <w:lang w:val="fr-BE"/>
              </w:rPr>
              <w:t>et traitement du résidu dans une unité de traitement</w:t>
            </w:r>
          </w:p>
          <w:p w14:paraId="188EDDC2" w14:textId="05A31526" w:rsidR="007E0214" w:rsidRPr="00FB0D93" w:rsidRDefault="00177760" w:rsidP="00F65E67">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l</w:t>
            </w:r>
            <w:r w:rsidR="007E0214" w:rsidRPr="00FB0D93">
              <w:rPr>
                <w:lang w:val="fr-BE"/>
              </w:rPr>
              <w:t xml:space="preserve">ocation/amortissement des conteneurs fixes dans le </w:t>
            </w:r>
            <w:r w:rsidR="003911C3" w:rsidRPr="00FB0D93">
              <w:rPr>
                <w:lang w:val="fr-BE"/>
              </w:rPr>
              <w:t>recyparc</w:t>
            </w:r>
            <w:r w:rsidR="007E0214" w:rsidRPr="00FB0D93">
              <w:rPr>
                <w:lang w:val="fr-BE"/>
              </w:rPr>
              <w:t xml:space="preserve"> (le cas échéant)</w:t>
            </w:r>
          </w:p>
          <w:p w14:paraId="497728FC" w14:textId="22CEAF3B" w:rsidR="007E0214" w:rsidRPr="00FB0D93" w:rsidRDefault="00177760" w:rsidP="00F65E67">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left"/>
              <w:rPr>
                <w:lang w:val="fr-BE"/>
              </w:rPr>
            </w:pPr>
            <w:r w:rsidRPr="00FB0D93">
              <w:rPr>
                <w:lang w:val="fr-BE"/>
              </w:rPr>
              <w:t>t</w:t>
            </w:r>
            <w:r w:rsidR="007E0214" w:rsidRPr="00FB0D93">
              <w:rPr>
                <w:lang w:val="fr-BE"/>
              </w:rPr>
              <w:t>ransport du conteneur vers une station de transbordement ou un centre de tri</w:t>
            </w:r>
          </w:p>
          <w:p w14:paraId="3D07E599" w14:textId="77777777" w:rsidR="00514927" w:rsidRPr="00FB0D93" w:rsidRDefault="00177760" w:rsidP="00F65E67">
            <w:pPr>
              <w:widowControl/>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spacing w:before="60" w:after="60" w:line="240" w:lineRule="auto"/>
              <w:jc w:val="left"/>
              <w:textAlignment w:val="auto"/>
              <w:rPr>
                <w:lang w:val="fr-BE"/>
              </w:rPr>
            </w:pPr>
            <w:r w:rsidRPr="00FB0D93">
              <w:rPr>
                <w:lang w:val="fr-BE"/>
              </w:rPr>
              <w:t xml:space="preserve">traitement </w:t>
            </w:r>
            <w:r w:rsidR="00514927" w:rsidRPr="00FB0D93">
              <w:rPr>
                <w:lang w:val="fr-BE"/>
              </w:rPr>
              <w:t>administratif et transfert des données</w:t>
            </w:r>
          </w:p>
          <w:p w14:paraId="793E9918" w14:textId="0BB8240C" w:rsidR="00F65E67" w:rsidRPr="00FB0D93" w:rsidRDefault="00592E5D" w:rsidP="00F65E67">
            <w:pPr>
              <w:pStyle w:val="Listenumros"/>
              <w:widowControl/>
              <w:numPr>
                <w:ilvl w:val="0"/>
                <w:numId w:val="38"/>
              </w:numPr>
              <w:adjustRightInd/>
              <w:jc w:val="left"/>
              <w:textAlignment w:val="auto"/>
              <w:rPr>
                <w:lang w:val="fr-BE"/>
              </w:rPr>
            </w:pPr>
            <w:r w:rsidRPr="00FB0D93">
              <w:rPr>
                <w:lang w:val="fr-BE"/>
              </w:rPr>
              <w:t>dans les limites de l’agrément</w:t>
            </w:r>
            <w:r w:rsidR="00F65E67" w:rsidRPr="00FB0D93">
              <w:rPr>
                <w:lang w:val="fr-BE"/>
              </w:rPr>
              <w:t xml:space="preserve">: </w:t>
            </w:r>
            <w:r w:rsidR="00E3285C" w:rsidRPr="00FB0D93">
              <w:rPr>
                <w:lang w:val="fr-BE"/>
              </w:rPr>
              <w:t>collectes en soirée et les week-ends</w:t>
            </w:r>
          </w:p>
        </w:tc>
      </w:tr>
    </w:tbl>
    <w:p w14:paraId="6B86ED7B" w14:textId="15D3A215" w:rsidR="00122757" w:rsidRPr="00FB0D93" w:rsidRDefault="00122757" w:rsidP="00514927">
      <w:pPr>
        <w:rPr>
          <w:lang w:val="fr-BE"/>
        </w:rPr>
      </w:pPr>
    </w:p>
    <w:p w14:paraId="0769D367" w14:textId="77777777" w:rsidR="00BC309D" w:rsidRPr="00FB0D93" w:rsidRDefault="00BC309D" w:rsidP="00BC309D">
      <w:pPr>
        <w:rPr>
          <w:lang w:val="fr-BE"/>
        </w:rPr>
      </w:pPr>
    </w:p>
    <w:p w14:paraId="0769D36B" w14:textId="77777777" w:rsidR="00BC309D" w:rsidRPr="00FB0D93" w:rsidRDefault="00BC309D" w:rsidP="004C057B">
      <w:pPr>
        <w:pStyle w:val="Titre2"/>
        <w:rPr>
          <w:lang w:val="fr-BE"/>
        </w:rPr>
      </w:pPr>
      <w:r w:rsidRPr="00FB0D93">
        <w:rPr>
          <w:lang w:val="fr-BE"/>
        </w:rPr>
        <w:t>Financement selon le coût de référence</w:t>
      </w:r>
    </w:p>
    <w:p w14:paraId="0769D36C" w14:textId="62330DFA" w:rsidR="00BC309D" w:rsidRDefault="00701830" w:rsidP="006E6BD7">
      <w:pPr>
        <w:rPr>
          <w:lang w:val="fr-BE"/>
        </w:rPr>
      </w:pPr>
      <w:r w:rsidRPr="00FB0D93">
        <w:rPr>
          <w:snapToGrid w:val="0"/>
          <w:lang w:val="fr-BE"/>
        </w:rPr>
        <w:t>Si</w:t>
      </w:r>
      <w:r w:rsidR="00BC309D" w:rsidRPr="00FB0D93">
        <w:rPr>
          <w:snapToGrid w:val="0"/>
          <w:lang w:val="fr-BE"/>
        </w:rPr>
        <w:t xml:space="preserve"> INTERCOMMUNALE décide de travailler, pour certains matériaux ou flux </w:t>
      </w:r>
      <w:r w:rsidR="00BC309D" w:rsidRPr="00FB0D93">
        <w:rPr>
          <w:lang w:val="fr-BE"/>
        </w:rPr>
        <w:t>(verre, papier/carton, PMC), selon d’autres scénarios plus coûteux que ceux décrits</w:t>
      </w:r>
      <w:r w:rsidR="00002DFA" w:rsidRPr="00FB0D93">
        <w:rPr>
          <w:lang w:val="fr-BE"/>
        </w:rPr>
        <w:t xml:space="preserve"> à l’article</w:t>
      </w:r>
      <w:r w:rsidR="00567322" w:rsidRPr="00FB0D93">
        <w:rPr>
          <w:lang w:val="fr-BE"/>
        </w:rPr>
        <w:t> </w:t>
      </w:r>
      <w:r w:rsidR="00002DFA" w:rsidRPr="00FB0D93">
        <w:rPr>
          <w:lang w:val="fr-BE"/>
        </w:rPr>
        <w:t>6 de l’agrément</w:t>
      </w:r>
      <w:r w:rsidR="00BC309D" w:rsidRPr="00FB0D93">
        <w:rPr>
          <w:lang w:val="fr-BE"/>
        </w:rPr>
        <w:t>, Fost Plus paie le coût de référence pour ces flux ou matériaux.</w:t>
      </w:r>
      <w:r w:rsidR="006E6BD7" w:rsidRPr="00FB0D93">
        <w:rPr>
          <w:lang w:val="fr-BE"/>
        </w:rPr>
        <w:t xml:space="preserve"> </w:t>
      </w:r>
      <w:r w:rsidR="00BC309D" w:rsidRPr="00FB0D93">
        <w:rPr>
          <w:lang w:val="fr-BE"/>
        </w:rPr>
        <w:t xml:space="preserve">Cette règle s’applique </w:t>
      </w:r>
      <w:r w:rsidR="00100C29" w:rsidRPr="00FB0D93">
        <w:rPr>
          <w:lang w:val="fr-BE"/>
        </w:rPr>
        <w:t xml:space="preserve">entre autres </w:t>
      </w:r>
      <w:r w:rsidRPr="00FB0D93">
        <w:rPr>
          <w:lang w:val="fr-BE"/>
        </w:rPr>
        <w:t>pour</w:t>
      </w:r>
      <w:r w:rsidR="00BC309D" w:rsidRPr="00FB0D93">
        <w:rPr>
          <w:lang w:val="fr-BE"/>
        </w:rPr>
        <w:t xml:space="preserve"> la collecte du verre en porte-à-porte</w:t>
      </w:r>
      <w:r w:rsidR="00BE534F" w:rsidRPr="00FB0D93">
        <w:rPr>
          <w:lang w:val="fr-BE"/>
        </w:rPr>
        <w:t xml:space="preserve"> et la collecte via des rues desservies</w:t>
      </w:r>
      <w:r w:rsidR="00BC309D" w:rsidRPr="00FB0D93">
        <w:rPr>
          <w:lang w:val="fr-BE"/>
        </w:rPr>
        <w:t xml:space="preserve">. </w:t>
      </w:r>
    </w:p>
    <w:p w14:paraId="0769D36E" w14:textId="179DE5EB" w:rsidR="00BC309D" w:rsidRPr="008302BE" w:rsidRDefault="00C74443" w:rsidP="008302BE">
      <w:pPr>
        <w:rPr>
          <w:lang w:val="fr-BE"/>
        </w:rPr>
      </w:pPr>
      <w:r w:rsidRPr="00C74443">
        <w:rPr>
          <w:lang w:val="fr-BE"/>
        </w:rPr>
        <w:t>Le coût de référence est calculé chaque année par Fost Plus, selon les dispositions reprises dans l’agrément et fixées par la CIE.</w:t>
      </w:r>
    </w:p>
    <w:p w14:paraId="0769D36F" w14:textId="7B9B38C4" w:rsidR="00BC309D" w:rsidRPr="00FB0D93" w:rsidRDefault="00BC309D" w:rsidP="006E6BD7">
      <w:pPr>
        <w:pStyle w:val="Listepuces"/>
        <w:numPr>
          <w:ilvl w:val="0"/>
          <w:numId w:val="0"/>
        </w:numPr>
        <w:rPr>
          <w:lang w:val="fr-BE"/>
        </w:rPr>
      </w:pPr>
      <w:r w:rsidRPr="00FB0D93">
        <w:rPr>
          <w:lang w:val="fr-BE"/>
        </w:rPr>
        <w:t>Le paiement du coût de référence se fait</w:t>
      </w:r>
      <w:r w:rsidR="009170C7" w:rsidRPr="00FB0D93">
        <w:rPr>
          <w:lang w:val="fr-BE"/>
        </w:rPr>
        <w:t xml:space="preserve"> en principe</w:t>
      </w:r>
      <w:r w:rsidRPr="00FB0D93">
        <w:rPr>
          <w:lang w:val="fr-BE"/>
        </w:rPr>
        <w:t xml:space="preserve"> à l'</w:t>
      </w:r>
      <w:r w:rsidR="00B7071C" w:rsidRPr="00FB0D93">
        <w:rPr>
          <w:lang w:val="fr-BE"/>
        </w:rPr>
        <w:t>I</w:t>
      </w:r>
      <w:r w:rsidRPr="00FB0D93">
        <w:rPr>
          <w:lang w:val="fr-BE"/>
        </w:rPr>
        <w:t xml:space="preserve">ntercommunale. Moyennant l’accord des parties concernées, la facturation peut être effectuée par </w:t>
      </w:r>
      <w:r w:rsidR="00E60932" w:rsidRPr="00FB0D93">
        <w:rPr>
          <w:lang w:val="fr-BE"/>
        </w:rPr>
        <w:t>l’</w:t>
      </w:r>
      <w:r w:rsidRPr="00FB0D93">
        <w:rPr>
          <w:lang w:val="fr-BE"/>
        </w:rPr>
        <w:t>opérateur privé. Dans ce cas, les factures, établies au nom de Fost Plus, doivent être soumises par l’opérateur à l’approbation de l’intercommunale. Après avoir donné son approbation, cette dernière envoie les factures correctement établies à Fost Plus, qui les acquittera.</w:t>
      </w:r>
    </w:p>
    <w:p w14:paraId="0769D370" w14:textId="77777777" w:rsidR="006E6BD7" w:rsidRPr="00FB0D93" w:rsidRDefault="006E6BD7" w:rsidP="006E6BD7">
      <w:pPr>
        <w:pStyle w:val="Listepuces"/>
        <w:numPr>
          <w:ilvl w:val="0"/>
          <w:numId w:val="0"/>
        </w:numPr>
        <w:rPr>
          <w:lang w:val="fr-BE"/>
        </w:rPr>
      </w:pPr>
    </w:p>
    <w:p w14:paraId="0769D371" w14:textId="27D7BE21" w:rsidR="00BC309D" w:rsidRPr="00FB0D93" w:rsidRDefault="00BC309D" w:rsidP="006E6BD7">
      <w:pPr>
        <w:pStyle w:val="Listepuces"/>
        <w:numPr>
          <w:ilvl w:val="0"/>
          <w:numId w:val="0"/>
        </w:numPr>
        <w:rPr>
          <w:lang w:val="fr-BE"/>
        </w:rPr>
      </w:pPr>
      <w:r w:rsidRPr="00FB0D93">
        <w:rPr>
          <w:lang w:val="fr-BE"/>
        </w:rPr>
        <w:t xml:space="preserve">Eu égard au fait que </w:t>
      </w:r>
      <w:r w:rsidR="00567322" w:rsidRPr="00FB0D93">
        <w:rPr>
          <w:lang w:val="fr-BE"/>
        </w:rPr>
        <w:t>le coût de référence de l’année </w:t>
      </w:r>
      <w:r w:rsidRPr="00FB0D93">
        <w:rPr>
          <w:lang w:val="fr-BE"/>
        </w:rPr>
        <w:t>N n’est définitivement déterminé qu’au cours d</w:t>
      </w:r>
      <w:r w:rsidR="00567322" w:rsidRPr="00FB0D93">
        <w:rPr>
          <w:lang w:val="fr-BE"/>
        </w:rPr>
        <w:t>u deuxième trimestre de l’année </w:t>
      </w:r>
      <w:r w:rsidRPr="00FB0D93">
        <w:rPr>
          <w:lang w:val="fr-BE"/>
        </w:rPr>
        <w:t>N, la facturation est encore effectuée au cou</w:t>
      </w:r>
      <w:r w:rsidR="00567322" w:rsidRPr="00FB0D93">
        <w:rPr>
          <w:lang w:val="fr-BE"/>
        </w:rPr>
        <w:t>rs des premiers mois de l’année </w:t>
      </w:r>
      <w:r w:rsidRPr="00FB0D93">
        <w:rPr>
          <w:lang w:val="fr-BE"/>
        </w:rPr>
        <w:t>N sur la base du coût de référence appli</w:t>
      </w:r>
      <w:r w:rsidR="00567322" w:rsidRPr="00FB0D93">
        <w:rPr>
          <w:lang w:val="fr-BE"/>
        </w:rPr>
        <w:t>cable au cours de l’année N</w:t>
      </w:r>
      <w:r w:rsidR="00E60932" w:rsidRPr="00FB0D93">
        <w:rPr>
          <w:lang w:val="fr-BE"/>
        </w:rPr>
        <w:t>-</w:t>
      </w:r>
      <w:r w:rsidRPr="00FB0D93">
        <w:rPr>
          <w:lang w:val="fr-BE"/>
        </w:rPr>
        <w:t>1. Une régularisation de la facturation pour ces mois est appliquée par Fost Plus dès que le</w:t>
      </w:r>
      <w:r w:rsidR="00567322" w:rsidRPr="00FB0D93">
        <w:rPr>
          <w:lang w:val="fr-BE"/>
        </w:rPr>
        <w:t xml:space="preserve"> coût de référence pour l’année </w:t>
      </w:r>
      <w:r w:rsidRPr="00FB0D93">
        <w:rPr>
          <w:lang w:val="fr-BE"/>
        </w:rPr>
        <w:t>N est effectivement connu.</w:t>
      </w:r>
    </w:p>
    <w:p w14:paraId="0769D372" w14:textId="77777777" w:rsidR="00BC309D" w:rsidRPr="00FB0D93" w:rsidRDefault="004C397C" w:rsidP="006318F1">
      <w:pPr>
        <w:pStyle w:val="Titre2"/>
        <w:rPr>
          <w:lang w:val="fr-BE"/>
        </w:rPr>
      </w:pPr>
      <w:r w:rsidRPr="00FB0D93">
        <w:rPr>
          <w:lang w:val="fr-BE"/>
        </w:rPr>
        <w:t xml:space="preserve">Valeur de référence </w:t>
      </w:r>
    </w:p>
    <w:p w14:paraId="0769D373" w14:textId="41DF99C7" w:rsidR="00BC309D" w:rsidRPr="00FB0D93" w:rsidRDefault="00E60932" w:rsidP="00BC309D">
      <w:pPr>
        <w:rPr>
          <w:lang w:val="fr-BE" w:eastAsia="en-US"/>
        </w:rPr>
      </w:pPr>
      <w:r w:rsidRPr="00FB0D93">
        <w:rPr>
          <w:lang w:val="fr-BE"/>
        </w:rPr>
        <w:t xml:space="preserve">La </w:t>
      </w:r>
      <w:r w:rsidR="00BC309D" w:rsidRPr="00FB0D93">
        <w:rPr>
          <w:lang w:val="fr-BE"/>
        </w:rPr>
        <w:t xml:space="preserve">valeur de référence </w:t>
      </w:r>
      <w:r w:rsidRPr="00FB0D93">
        <w:rPr>
          <w:lang w:val="fr-BE"/>
        </w:rPr>
        <w:t>pour un</w:t>
      </w:r>
      <w:r w:rsidR="00A05E92" w:rsidRPr="00FB0D93">
        <w:rPr>
          <w:lang w:val="fr-BE"/>
        </w:rPr>
        <w:t xml:space="preserve"> matériau </w:t>
      </w:r>
      <w:r w:rsidR="00BC309D" w:rsidRPr="00FB0D93">
        <w:rPr>
          <w:lang w:val="fr-BE"/>
        </w:rPr>
        <w:t xml:space="preserve">sera d’application lorsque le marché pour l’acquisition </w:t>
      </w:r>
      <w:r w:rsidR="00A05E92" w:rsidRPr="00FB0D93">
        <w:rPr>
          <w:lang w:val="fr-BE"/>
        </w:rPr>
        <w:t xml:space="preserve">et le recyclage </w:t>
      </w:r>
      <w:r w:rsidR="00BC309D" w:rsidRPr="00FB0D93">
        <w:rPr>
          <w:lang w:val="fr-BE"/>
        </w:rPr>
        <w:t>n’est pas attribué</w:t>
      </w:r>
      <w:r w:rsidR="00BC309D" w:rsidRPr="00FB0D93">
        <w:rPr>
          <w:lang w:val="fr-BE" w:eastAsia="en-US"/>
        </w:rPr>
        <w:t xml:space="preserve"> </w:t>
      </w:r>
      <w:r w:rsidRPr="00FB0D93">
        <w:rPr>
          <w:lang w:val="fr-BE" w:eastAsia="en-US"/>
        </w:rPr>
        <w:t>selon les</w:t>
      </w:r>
      <w:r w:rsidR="00BC309D" w:rsidRPr="00FB0D93">
        <w:rPr>
          <w:lang w:val="fr-BE" w:eastAsia="en-US"/>
        </w:rPr>
        <w:t xml:space="preserve"> cahier</w:t>
      </w:r>
      <w:r w:rsidR="00567322" w:rsidRPr="00FB0D93">
        <w:rPr>
          <w:lang w:val="fr-BE" w:eastAsia="en-US"/>
        </w:rPr>
        <w:t xml:space="preserve">s des charges </w:t>
      </w:r>
      <w:r w:rsidRPr="00FB0D93">
        <w:rPr>
          <w:lang w:val="fr-BE" w:eastAsia="en-US"/>
        </w:rPr>
        <w:t xml:space="preserve">types </w:t>
      </w:r>
      <w:r w:rsidR="00567322" w:rsidRPr="00FB0D93">
        <w:rPr>
          <w:lang w:val="fr-BE" w:eastAsia="en-US"/>
        </w:rPr>
        <w:t>repris à l’Annexe </w:t>
      </w:r>
      <w:r w:rsidR="00002DFA" w:rsidRPr="00FB0D93">
        <w:rPr>
          <w:lang w:val="fr-BE" w:eastAsia="en-US"/>
        </w:rPr>
        <w:t>14</w:t>
      </w:r>
      <w:r w:rsidR="00BC309D" w:rsidRPr="00FB0D93">
        <w:rPr>
          <w:lang w:val="fr-BE" w:eastAsia="en-US"/>
        </w:rPr>
        <w:t xml:space="preserve"> et que cette divergence n’a pas une influence pertinente sur la valeur des matériaux.</w:t>
      </w:r>
    </w:p>
    <w:p w14:paraId="0769D374" w14:textId="21DB6532" w:rsidR="00002DFA" w:rsidRPr="00FB0D93" w:rsidRDefault="00002DFA" w:rsidP="00BC309D">
      <w:pPr>
        <w:rPr>
          <w:lang w:val="fr-BE" w:eastAsia="en-US"/>
        </w:rPr>
      </w:pPr>
      <w:r w:rsidRPr="00FB0D93">
        <w:rPr>
          <w:lang w:val="fr-BE" w:eastAsia="en-US"/>
        </w:rPr>
        <w:t xml:space="preserve">La valeur de référence est calculée chaque </w:t>
      </w:r>
      <w:r w:rsidR="007E0214" w:rsidRPr="00FB0D93">
        <w:rPr>
          <w:lang w:val="fr-BE" w:eastAsia="en-US"/>
        </w:rPr>
        <w:t xml:space="preserve">mois pendant l’année et calculée définitivement chaque </w:t>
      </w:r>
      <w:r w:rsidRPr="00FB0D93">
        <w:rPr>
          <w:lang w:val="fr-BE" w:eastAsia="en-US"/>
        </w:rPr>
        <w:t xml:space="preserve">année par Fost Plus conformément aux dispositions reprises dans </w:t>
      </w:r>
      <w:r w:rsidR="00A05E92" w:rsidRPr="00FB0D93">
        <w:rPr>
          <w:lang w:val="fr-BE" w:eastAsia="en-US"/>
        </w:rPr>
        <w:t>l’Agrément</w:t>
      </w:r>
      <w:r w:rsidR="00DD2E8E" w:rsidRPr="00FB0D93">
        <w:rPr>
          <w:lang w:val="fr-BE"/>
        </w:rPr>
        <w:t xml:space="preserve"> et</w:t>
      </w:r>
      <w:r w:rsidR="00F65E67" w:rsidRPr="00FB0D93">
        <w:rPr>
          <w:lang w:val="fr-BE"/>
        </w:rPr>
        <w:t xml:space="preserve"> </w:t>
      </w:r>
      <w:r w:rsidR="00DD0923" w:rsidRPr="00FB0D93">
        <w:rPr>
          <w:lang w:val="fr-BE"/>
        </w:rPr>
        <w:t>fixées par la CIE</w:t>
      </w:r>
      <w:r w:rsidRPr="00FB0D93">
        <w:rPr>
          <w:lang w:val="fr-BE" w:eastAsia="en-US"/>
        </w:rPr>
        <w:t>.</w:t>
      </w:r>
    </w:p>
    <w:p w14:paraId="0769D375" w14:textId="77777777" w:rsidR="00D46DDB" w:rsidRPr="00FB0D93" w:rsidRDefault="002A107E">
      <w:pPr>
        <w:pStyle w:val="Titre3"/>
        <w:numPr>
          <w:ilvl w:val="0"/>
          <w:numId w:val="0"/>
        </w:numPr>
        <w:rPr>
          <w:lang w:val="fr-BE"/>
        </w:rPr>
      </w:pPr>
      <w:r w:rsidRPr="00FB0D93">
        <w:rPr>
          <w:lang w:val="fr-BE"/>
        </w:rPr>
        <w:t>Modalités d’application</w:t>
      </w:r>
      <w:r w:rsidR="004E61C7" w:rsidRPr="00FB0D93">
        <w:rPr>
          <w:lang w:val="fr-BE"/>
        </w:rPr>
        <w:t> :</w:t>
      </w:r>
    </w:p>
    <w:p w14:paraId="0769D376" w14:textId="77777777" w:rsidR="00BC309D" w:rsidRPr="00FB0D93" w:rsidRDefault="002A107E" w:rsidP="00BC309D">
      <w:pPr>
        <w:pStyle w:val="Listepuces"/>
        <w:rPr>
          <w:lang w:val="fr-BE"/>
        </w:rPr>
      </w:pPr>
      <w:r w:rsidRPr="00FB0D93">
        <w:rPr>
          <w:lang w:val="fr-BE"/>
        </w:rPr>
        <w:t>Le recyclage effectif des matériaux pour lesquels la valeur de référence s’applique, doit être démontré par l’intercommunale au moyen de l’attestation d</w:t>
      </w:r>
      <w:r w:rsidR="00567322" w:rsidRPr="00FB0D93">
        <w:rPr>
          <w:lang w:val="fr-BE"/>
        </w:rPr>
        <w:t>e recyclage figurant à l’Annexe </w:t>
      </w:r>
      <w:r w:rsidRPr="00FB0D93">
        <w:rPr>
          <w:lang w:val="fr-BE"/>
        </w:rPr>
        <w:t>11, dûment complétée et signée.</w:t>
      </w:r>
    </w:p>
    <w:p w14:paraId="0769D377" w14:textId="68CFFB24" w:rsidR="00BC309D" w:rsidRPr="00FB0D93" w:rsidRDefault="002A107E" w:rsidP="00BC309D">
      <w:pPr>
        <w:pStyle w:val="Listepuces"/>
        <w:rPr>
          <w:lang w:val="fr-BE"/>
        </w:rPr>
      </w:pPr>
      <w:r w:rsidRPr="00FB0D93">
        <w:rPr>
          <w:lang w:val="fr-BE"/>
        </w:rPr>
        <w:t>Les quantités mensuelles attestées et acceptées (après le contrôle des certificats de recyclage) sont facturées à la valeur de référence de l’année qui précédait l’année actuelle. En cas de valeur de référence négative, l’intercommunale envoie la facture à Fost Plus. En cas de valeur de référence positive, Fost Plus envoie la facture à l’intercommunale.</w:t>
      </w:r>
    </w:p>
    <w:p w14:paraId="0769D378" w14:textId="3CAE8E54" w:rsidR="00BC309D" w:rsidRPr="00FB0D93" w:rsidRDefault="002A107E" w:rsidP="00BC309D">
      <w:pPr>
        <w:pStyle w:val="Listepuces"/>
        <w:rPr>
          <w:lang w:val="fr-BE"/>
        </w:rPr>
      </w:pPr>
      <w:r w:rsidRPr="00FB0D93">
        <w:rPr>
          <w:lang w:val="fr-BE"/>
        </w:rPr>
        <w:t>Si la valeur de référence</w:t>
      </w:r>
      <w:r w:rsidR="007B5DEB" w:rsidRPr="00FB0D93">
        <w:rPr>
          <w:lang w:val="fr-BE"/>
        </w:rPr>
        <w:t xml:space="preserve"> définitive</w:t>
      </w:r>
      <w:r w:rsidRPr="00FB0D93">
        <w:rPr>
          <w:lang w:val="fr-BE"/>
        </w:rPr>
        <w:t xml:space="preserve"> de l’année actuelle est connue</w:t>
      </w:r>
      <w:r w:rsidR="007B5DEB" w:rsidRPr="00FB0D93">
        <w:rPr>
          <w:lang w:val="fr-BE"/>
        </w:rPr>
        <w:t xml:space="preserve"> et a été approuvée par la </w:t>
      </w:r>
      <w:r w:rsidR="00905FA2" w:rsidRPr="00FB0D93">
        <w:rPr>
          <w:lang w:val="fr-BE"/>
        </w:rPr>
        <w:t xml:space="preserve">CIE </w:t>
      </w:r>
      <w:r w:rsidR="00905FA2" w:rsidRPr="00FB0D93">
        <w:rPr>
          <w:lang w:val="fr-BE"/>
        </w:rPr>
        <w:lastRenderedPageBreak/>
        <w:t>(</w:t>
      </w:r>
      <w:r w:rsidRPr="00FB0D93">
        <w:rPr>
          <w:lang w:val="fr-BE"/>
        </w:rPr>
        <w:t>pour fin mars de l’année suivant l’année actuelle), les factures ou notes de crédit corrigées sont établies de sorte que les quantités acquises au cours d’une année soient bien facturées à la valeur de référence de cette même année.</w:t>
      </w:r>
    </w:p>
    <w:p w14:paraId="0769D379" w14:textId="53872750" w:rsidR="00BC309D" w:rsidRPr="00FB0D93" w:rsidRDefault="002A107E" w:rsidP="00450A03">
      <w:pPr>
        <w:pStyle w:val="Titre1"/>
        <w:tabs>
          <w:tab w:val="clear" w:pos="425"/>
          <w:tab w:val="num" w:pos="426"/>
        </w:tabs>
        <w:ind w:left="426" w:hanging="426"/>
        <w:contextualSpacing w:val="0"/>
        <w:rPr>
          <w:lang w:val="fr-BE"/>
        </w:rPr>
      </w:pPr>
      <w:bookmarkStart w:id="7" w:name="_Toc20298001"/>
      <w:r w:rsidRPr="00FB0D93">
        <w:rPr>
          <w:lang w:val="fr-BE"/>
        </w:rPr>
        <w:lastRenderedPageBreak/>
        <w:t>Tarifs pour les activités de collecte sélective et de tri</w:t>
      </w:r>
      <w:r w:rsidR="00F84A1A" w:rsidRPr="00FB0D93">
        <w:rPr>
          <w:lang w:val="fr-BE"/>
        </w:rPr>
        <w:t xml:space="preserve"> </w:t>
      </w:r>
      <w:r w:rsidR="00F84A1A" w:rsidRPr="00FB0D93">
        <w:rPr>
          <w:szCs w:val="34"/>
          <w:bdr w:val="single" w:sz="4" w:space="0" w:color="000000"/>
          <w:lang w:val="fr-BE"/>
        </w:rPr>
        <w:t>A</w:t>
      </w:r>
      <w:bookmarkEnd w:id="7"/>
    </w:p>
    <w:p w14:paraId="0769D37A" w14:textId="13617AC1" w:rsidR="00D46DDB" w:rsidRPr="00FB0D93" w:rsidRDefault="00F84A1A">
      <w:pPr>
        <w:pStyle w:val="Titre1"/>
        <w:tabs>
          <w:tab w:val="clear" w:pos="425"/>
          <w:tab w:val="num" w:pos="426"/>
        </w:tabs>
        <w:ind w:left="426" w:hanging="426"/>
        <w:contextualSpacing w:val="0"/>
        <w:rPr>
          <w:lang w:val="fr-BE"/>
        </w:rPr>
      </w:pPr>
      <w:bookmarkStart w:id="8" w:name="_Toc20298002"/>
      <w:r w:rsidRPr="00FB0D93">
        <w:rPr>
          <w:lang w:val="fr-BE"/>
        </w:rPr>
        <w:lastRenderedPageBreak/>
        <w:t>C</w:t>
      </w:r>
      <w:r w:rsidR="002A107E" w:rsidRPr="00FB0D93">
        <w:rPr>
          <w:lang w:val="fr-BE"/>
        </w:rPr>
        <w:t>opies</w:t>
      </w:r>
      <w:r w:rsidR="00BC309D" w:rsidRPr="00FB0D93">
        <w:rPr>
          <w:lang w:val="fr-BE"/>
        </w:rPr>
        <w:t xml:space="preserve"> </w:t>
      </w:r>
      <w:r w:rsidR="002A107E" w:rsidRPr="00FB0D93">
        <w:rPr>
          <w:lang w:val="fr-BE"/>
        </w:rPr>
        <w:t>des</w:t>
      </w:r>
      <w:r w:rsidR="00BC309D" w:rsidRPr="00FB0D93">
        <w:rPr>
          <w:lang w:val="fr-BE"/>
        </w:rPr>
        <w:t xml:space="preserve"> inventaires des marchés attribués</w:t>
      </w:r>
      <w:r w:rsidR="002A107E" w:rsidRPr="00FB0D93">
        <w:rPr>
          <w:lang w:val="fr-BE"/>
        </w:rPr>
        <w:t xml:space="preserve"> en matière de collecte sélective et de tri) </w:t>
      </w:r>
      <w:r w:rsidR="002A107E" w:rsidRPr="00FB0D93">
        <w:rPr>
          <w:sz w:val="34"/>
          <w:szCs w:val="34"/>
          <w:bdr w:val="single" w:sz="4" w:space="0" w:color="000000"/>
          <w:lang w:val="fr-BE"/>
        </w:rPr>
        <w:t>A</w:t>
      </w:r>
      <w:r w:rsidR="002A107E" w:rsidRPr="00FB0D93">
        <w:rPr>
          <w:rFonts w:eastAsia="PMingLiU" w:cs="Arial"/>
          <w:bCs/>
          <w:sz w:val="18"/>
          <w:szCs w:val="18"/>
          <w:bdr w:val="single" w:sz="4" w:space="0" w:color="000000"/>
          <w:lang w:val="fr-BE"/>
        </w:rPr>
        <w:t xml:space="preserve">, </w:t>
      </w:r>
      <w:r w:rsidRPr="00FB0D93">
        <w:rPr>
          <w:rFonts w:eastAsia="PMingLiU" w:cs="Arial"/>
          <w:bCs/>
          <w:sz w:val="18"/>
          <w:szCs w:val="18"/>
          <w:bdr w:val="single" w:sz="4" w:space="0" w:color="000000"/>
          <w:lang w:val="fr-BE"/>
        </w:rPr>
        <w:t>en</w:t>
      </w:r>
      <w:r w:rsidR="002A107E" w:rsidRPr="00FB0D93">
        <w:rPr>
          <w:rFonts w:eastAsia="PMingLiU" w:cs="Arial"/>
          <w:bCs/>
          <w:sz w:val="18"/>
          <w:szCs w:val="18"/>
          <w:bdr w:val="single" w:sz="4" w:space="0" w:color="000000"/>
          <w:lang w:val="fr-BE"/>
        </w:rPr>
        <w:t xml:space="preserve"> cas </w:t>
      </w:r>
      <w:r w:rsidRPr="00FB0D93">
        <w:rPr>
          <w:rFonts w:eastAsia="PMingLiU" w:cs="Arial"/>
          <w:bCs/>
          <w:sz w:val="18"/>
          <w:szCs w:val="18"/>
          <w:bdr w:val="single" w:sz="4" w:space="0" w:color="000000"/>
          <w:lang w:val="fr-BE"/>
        </w:rPr>
        <w:t>de sous-traitance,</w:t>
      </w:r>
      <w:r w:rsidR="001F41C0" w:rsidRPr="00FB0D93">
        <w:rPr>
          <w:rFonts w:eastAsia="PMingLiU" w:cs="Arial"/>
          <w:bCs/>
          <w:sz w:val="18"/>
          <w:szCs w:val="18"/>
          <w:bdr w:val="single" w:sz="4" w:space="0" w:color="000000"/>
          <w:lang w:val="fr-BE"/>
        </w:rPr>
        <w:t xml:space="preserve"> </w:t>
      </w:r>
      <w:r w:rsidRPr="00FB0D93">
        <w:rPr>
          <w:rFonts w:eastAsia="PMingLiU" w:cs="Arial"/>
          <w:bCs/>
          <w:sz w:val="18"/>
          <w:szCs w:val="18"/>
          <w:bdr w:val="single" w:sz="4" w:space="0" w:color="000000"/>
          <w:lang w:val="fr-BE"/>
        </w:rPr>
        <w:t xml:space="preserve">C en cas de </w:t>
      </w:r>
      <w:r w:rsidR="00B7071C" w:rsidRPr="00FB0D93">
        <w:rPr>
          <w:rFonts w:eastAsia="PMingLiU" w:cs="Arial"/>
          <w:bCs/>
          <w:sz w:val="18"/>
          <w:szCs w:val="18"/>
          <w:bdr w:val="single" w:sz="4" w:space="0" w:color="000000"/>
          <w:lang w:val="fr-BE"/>
        </w:rPr>
        <w:t>régie</w:t>
      </w:r>
      <w:bookmarkEnd w:id="8"/>
      <w:r w:rsidRPr="00FB0D93">
        <w:rPr>
          <w:rFonts w:eastAsia="PMingLiU" w:cs="Arial"/>
          <w:bCs/>
          <w:sz w:val="18"/>
          <w:szCs w:val="18"/>
          <w:bdr w:val="single" w:sz="4" w:space="0" w:color="000000"/>
          <w:lang w:val="fr-BE"/>
        </w:rPr>
        <w:t xml:space="preserve"> </w:t>
      </w:r>
    </w:p>
    <w:p w14:paraId="0769D37B" w14:textId="77777777" w:rsidR="00BC309D" w:rsidRPr="00FB0D93" w:rsidRDefault="00BC309D" w:rsidP="00BC309D">
      <w:pPr>
        <w:rPr>
          <w:lang w:val="fr-BE"/>
        </w:rPr>
      </w:pPr>
    </w:p>
    <w:p w14:paraId="0769D37C" w14:textId="5F56CCCF" w:rsidR="00D46DDB" w:rsidRPr="00FB0D93" w:rsidRDefault="002A107E">
      <w:pPr>
        <w:pStyle w:val="Titre1"/>
        <w:tabs>
          <w:tab w:val="clear" w:pos="425"/>
          <w:tab w:val="num" w:pos="426"/>
        </w:tabs>
        <w:ind w:left="426" w:hanging="426"/>
        <w:contextualSpacing w:val="0"/>
        <w:rPr>
          <w:lang w:val="fr-BE"/>
        </w:rPr>
      </w:pPr>
      <w:bookmarkStart w:id="9" w:name="_Toc20298003"/>
      <w:r w:rsidRPr="00FB0D93">
        <w:rPr>
          <w:lang w:val="fr-BE"/>
        </w:rPr>
        <w:lastRenderedPageBreak/>
        <w:t>Tarifs pour les marchés de recyclage (copie inventaires des marchés attribués)</w:t>
      </w:r>
      <w:r w:rsidR="00BC309D" w:rsidRPr="00FB0D93">
        <w:rPr>
          <w:lang w:val="fr-BE"/>
        </w:rPr>
        <w:t xml:space="preserve"> </w:t>
      </w:r>
      <w:r w:rsidR="00BC309D" w:rsidRPr="00FB0D93">
        <w:rPr>
          <w:sz w:val="34"/>
          <w:szCs w:val="34"/>
          <w:bdr w:val="single" w:sz="4" w:space="0" w:color="000000"/>
          <w:lang w:val="fr-BE"/>
        </w:rPr>
        <w:t>A</w:t>
      </w:r>
      <w:r w:rsidRPr="00FB0D93">
        <w:rPr>
          <w:rFonts w:eastAsia="PMingLiU" w:cs="Arial"/>
          <w:bCs/>
          <w:sz w:val="18"/>
          <w:szCs w:val="18"/>
          <w:bdr w:val="single" w:sz="4" w:space="0" w:color="000000"/>
          <w:lang w:val="fr-BE"/>
        </w:rPr>
        <w:t>, le cas échéant</w:t>
      </w:r>
      <w:bookmarkEnd w:id="9"/>
    </w:p>
    <w:p w14:paraId="0769D37D" w14:textId="77777777" w:rsidR="00BC309D" w:rsidRPr="00FB0D93" w:rsidRDefault="00BC309D" w:rsidP="00BC309D">
      <w:pPr>
        <w:rPr>
          <w:lang w:val="fr-BE"/>
        </w:rPr>
      </w:pPr>
    </w:p>
    <w:p w14:paraId="0769D37E" w14:textId="022EC07F" w:rsidR="00BC309D" w:rsidRPr="00FB0D93" w:rsidRDefault="002A107E" w:rsidP="00BC309D">
      <w:pPr>
        <w:pStyle w:val="Titre1"/>
        <w:tabs>
          <w:tab w:val="clear" w:pos="425"/>
          <w:tab w:val="num" w:pos="426"/>
        </w:tabs>
        <w:ind w:left="426" w:hanging="426"/>
        <w:contextualSpacing w:val="0"/>
        <w:rPr>
          <w:b/>
          <w:sz w:val="20"/>
          <w:szCs w:val="20"/>
          <w:lang w:val="fr-BE"/>
        </w:rPr>
      </w:pPr>
      <w:bookmarkStart w:id="10" w:name="_Toc20298004"/>
      <w:r w:rsidRPr="00FB0D93">
        <w:rPr>
          <w:lang w:val="fr-BE"/>
        </w:rPr>
        <w:lastRenderedPageBreak/>
        <w:t>L’Arbre décisionnel</w:t>
      </w:r>
      <w:r w:rsidR="00BC309D" w:rsidRPr="00FB0D93">
        <w:rPr>
          <w:lang w:val="fr-BE"/>
        </w:rPr>
        <w:t xml:space="preserve"> </w:t>
      </w:r>
      <w:r w:rsidR="00BC309D" w:rsidRPr="00FB0D93">
        <w:rPr>
          <w:sz w:val="34"/>
          <w:szCs w:val="34"/>
          <w:bdr w:val="single" w:sz="4" w:space="0" w:color="000000"/>
          <w:lang w:val="fr-BE"/>
        </w:rPr>
        <w:t>B</w:t>
      </w:r>
      <w:bookmarkEnd w:id="10"/>
      <w:r w:rsidR="00177760" w:rsidRPr="00FB0D93">
        <w:rPr>
          <w:lang w:val="fr-BE"/>
        </w:rPr>
        <w:tab/>
      </w:r>
      <w:r w:rsidR="00177760" w:rsidRPr="00FB0D93">
        <w:rPr>
          <w:lang w:val="fr-BE"/>
        </w:rPr>
        <w:tab/>
      </w:r>
      <w:r w:rsidR="00177760" w:rsidRPr="00FB0D93">
        <w:rPr>
          <w:lang w:val="fr-BE"/>
        </w:rPr>
        <w:tab/>
      </w:r>
    </w:p>
    <w:p w14:paraId="29F6A7B4" w14:textId="77777777" w:rsidR="00181E64" w:rsidRPr="00FB0D93" w:rsidRDefault="00181E64" w:rsidP="00181E64">
      <w:pPr>
        <w:rPr>
          <w:lang w:val="fr-BE"/>
        </w:rPr>
      </w:pPr>
    </w:p>
    <w:p w14:paraId="0769D37F" w14:textId="0673FCA5" w:rsidR="00BC309D" w:rsidRPr="00FB0D93" w:rsidRDefault="00181E64" w:rsidP="00BC309D">
      <w:pPr>
        <w:rPr>
          <w:szCs w:val="18"/>
          <w:lang w:val="fr-BE"/>
        </w:rPr>
      </w:pPr>
      <w:r w:rsidRPr="00FB0D93">
        <w:rPr>
          <w:noProof/>
          <w:lang w:val="fr-BE" w:eastAsia="fr-BE"/>
        </w:rPr>
        <w:drawing>
          <wp:inline distT="0" distB="0" distL="0" distR="0" wp14:anchorId="2302312C" wp14:editId="5C245457">
            <wp:extent cx="3997789" cy="46005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186" cy="4603334"/>
                    </a:xfrm>
                    <a:prstGeom prst="rect">
                      <a:avLst/>
                    </a:prstGeom>
                    <a:noFill/>
                    <a:ln>
                      <a:noFill/>
                    </a:ln>
                  </pic:spPr>
                </pic:pic>
              </a:graphicData>
            </a:graphic>
          </wp:inline>
        </w:drawing>
      </w:r>
    </w:p>
    <w:p w14:paraId="1872705A" w14:textId="77777777" w:rsidR="00181E64" w:rsidRPr="00FB0D93" w:rsidRDefault="00181E64">
      <w:pPr>
        <w:widowControl/>
        <w:adjustRightInd/>
        <w:spacing w:after="0" w:line="240" w:lineRule="auto"/>
        <w:jc w:val="left"/>
        <w:textAlignment w:val="auto"/>
        <w:rPr>
          <w:szCs w:val="18"/>
          <w:lang w:val="fr-BE"/>
        </w:rPr>
      </w:pPr>
      <w:r w:rsidRPr="00FB0D93">
        <w:rPr>
          <w:szCs w:val="18"/>
          <w:lang w:val="fr-BE"/>
        </w:rPr>
        <w:br w:type="page"/>
      </w:r>
    </w:p>
    <w:p w14:paraId="2AAFFB25" w14:textId="423269E9" w:rsidR="00181E64" w:rsidRPr="00FB0D93" w:rsidRDefault="00181E64" w:rsidP="00BC309D">
      <w:pPr>
        <w:rPr>
          <w:szCs w:val="18"/>
          <w:lang w:val="fr-BE"/>
        </w:rPr>
      </w:pPr>
      <w:r w:rsidRPr="00FB0D93">
        <w:rPr>
          <w:noProof/>
          <w:lang w:val="fr-BE" w:eastAsia="fr-BE"/>
        </w:rPr>
        <w:lastRenderedPageBreak/>
        <w:drawing>
          <wp:inline distT="0" distB="0" distL="0" distR="0" wp14:anchorId="3E7272AB" wp14:editId="5DBA978A">
            <wp:extent cx="5759450" cy="50542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054211"/>
                    </a:xfrm>
                    <a:prstGeom prst="rect">
                      <a:avLst/>
                    </a:prstGeom>
                    <a:noFill/>
                    <a:ln>
                      <a:noFill/>
                    </a:ln>
                  </pic:spPr>
                </pic:pic>
              </a:graphicData>
            </a:graphic>
          </wp:inline>
        </w:drawing>
      </w:r>
    </w:p>
    <w:p w14:paraId="6FD3DFA1" w14:textId="77777777" w:rsidR="00181E64" w:rsidRPr="00FB0D93" w:rsidRDefault="00181E64">
      <w:pPr>
        <w:widowControl/>
        <w:adjustRightInd/>
        <w:spacing w:after="0" w:line="240" w:lineRule="auto"/>
        <w:jc w:val="left"/>
        <w:textAlignment w:val="auto"/>
        <w:rPr>
          <w:szCs w:val="18"/>
          <w:lang w:val="fr-BE"/>
        </w:rPr>
      </w:pPr>
      <w:r w:rsidRPr="00FB0D93">
        <w:rPr>
          <w:szCs w:val="18"/>
          <w:lang w:val="fr-BE"/>
        </w:rPr>
        <w:br w:type="page"/>
      </w:r>
    </w:p>
    <w:p w14:paraId="2315D8B4" w14:textId="33C59B25" w:rsidR="00181E64" w:rsidRPr="00FB0D93" w:rsidRDefault="00181E64" w:rsidP="00BC309D">
      <w:pPr>
        <w:rPr>
          <w:szCs w:val="18"/>
          <w:lang w:val="fr-BE"/>
        </w:rPr>
      </w:pPr>
      <w:r w:rsidRPr="00FB0D93">
        <w:rPr>
          <w:noProof/>
          <w:lang w:val="fr-BE" w:eastAsia="fr-BE"/>
        </w:rPr>
        <w:lastRenderedPageBreak/>
        <w:drawing>
          <wp:inline distT="0" distB="0" distL="0" distR="0" wp14:anchorId="34F6FDA5" wp14:editId="6C8900D6">
            <wp:extent cx="5759450" cy="103332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0333296"/>
                    </a:xfrm>
                    <a:prstGeom prst="rect">
                      <a:avLst/>
                    </a:prstGeom>
                    <a:noFill/>
                    <a:ln>
                      <a:noFill/>
                    </a:ln>
                  </pic:spPr>
                </pic:pic>
              </a:graphicData>
            </a:graphic>
          </wp:inline>
        </w:drawing>
      </w:r>
    </w:p>
    <w:p w14:paraId="1EFB0F5C" w14:textId="77777777" w:rsidR="00181E64" w:rsidRPr="00FB0D93" w:rsidRDefault="00181E64">
      <w:pPr>
        <w:widowControl/>
        <w:adjustRightInd/>
        <w:spacing w:after="0" w:line="240" w:lineRule="auto"/>
        <w:jc w:val="left"/>
        <w:textAlignment w:val="auto"/>
        <w:rPr>
          <w:szCs w:val="18"/>
          <w:lang w:val="fr-BE"/>
        </w:rPr>
      </w:pPr>
      <w:r w:rsidRPr="00FB0D93">
        <w:rPr>
          <w:szCs w:val="18"/>
          <w:lang w:val="fr-BE"/>
        </w:rPr>
        <w:lastRenderedPageBreak/>
        <w:br w:type="page"/>
      </w:r>
    </w:p>
    <w:p w14:paraId="3EDD9A81" w14:textId="4782ED7F" w:rsidR="00181E64" w:rsidRPr="00FB0D93" w:rsidRDefault="00181E64" w:rsidP="00BC309D">
      <w:pPr>
        <w:rPr>
          <w:szCs w:val="18"/>
          <w:lang w:val="fr-BE"/>
        </w:rPr>
      </w:pPr>
      <w:r w:rsidRPr="00FB0D93">
        <w:rPr>
          <w:noProof/>
          <w:lang w:val="fr-BE" w:eastAsia="fr-BE"/>
        </w:rPr>
        <w:lastRenderedPageBreak/>
        <w:drawing>
          <wp:inline distT="0" distB="0" distL="0" distR="0" wp14:anchorId="66AD73F9" wp14:editId="6622620F">
            <wp:extent cx="5759450" cy="737209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372096"/>
                    </a:xfrm>
                    <a:prstGeom prst="rect">
                      <a:avLst/>
                    </a:prstGeom>
                    <a:noFill/>
                    <a:ln>
                      <a:noFill/>
                    </a:ln>
                  </pic:spPr>
                </pic:pic>
              </a:graphicData>
            </a:graphic>
          </wp:inline>
        </w:drawing>
      </w:r>
    </w:p>
    <w:p w14:paraId="29DBD9B1" w14:textId="77777777" w:rsidR="00181E64" w:rsidRPr="00FB0D93" w:rsidRDefault="00181E64">
      <w:pPr>
        <w:widowControl/>
        <w:adjustRightInd/>
        <w:spacing w:after="0" w:line="240" w:lineRule="auto"/>
        <w:jc w:val="left"/>
        <w:textAlignment w:val="auto"/>
        <w:rPr>
          <w:szCs w:val="18"/>
          <w:lang w:val="fr-BE"/>
        </w:rPr>
      </w:pPr>
      <w:r w:rsidRPr="00FB0D93">
        <w:rPr>
          <w:szCs w:val="18"/>
          <w:lang w:val="fr-BE"/>
        </w:rPr>
        <w:br w:type="page"/>
      </w:r>
    </w:p>
    <w:p w14:paraId="04DDF6B5" w14:textId="2CA24FD7" w:rsidR="00181E64" w:rsidRPr="00FB0D93" w:rsidRDefault="00181E64" w:rsidP="00BC309D">
      <w:pPr>
        <w:rPr>
          <w:szCs w:val="18"/>
          <w:lang w:val="fr-BE"/>
        </w:rPr>
      </w:pPr>
      <w:r w:rsidRPr="00FB0D93">
        <w:rPr>
          <w:noProof/>
          <w:lang w:val="fr-BE" w:eastAsia="fr-BE"/>
        </w:rPr>
        <w:lastRenderedPageBreak/>
        <w:drawing>
          <wp:inline distT="0" distB="0" distL="0" distR="0" wp14:anchorId="1CF7B626" wp14:editId="06EBED82">
            <wp:extent cx="5759450" cy="4010979"/>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4010979"/>
                    </a:xfrm>
                    <a:prstGeom prst="rect">
                      <a:avLst/>
                    </a:prstGeom>
                    <a:noFill/>
                    <a:ln>
                      <a:noFill/>
                    </a:ln>
                  </pic:spPr>
                </pic:pic>
              </a:graphicData>
            </a:graphic>
          </wp:inline>
        </w:drawing>
      </w:r>
    </w:p>
    <w:p w14:paraId="23B6D698" w14:textId="77777777" w:rsidR="00181E64" w:rsidRPr="00FB0D93" w:rsidRDefault="00181E64">
      <w:pPr>
        <w:widowControl/>
        <w:adjustRightInd/>
        <w:spacing w:after="0" w:line="240" w:lineRule="auto"/>
        <w:jc w:val="left"/>
        <w:textAlignment w:val="auto"/>
        <w:rPr>
          <w:szCs w:val="18"/>
          <w:lang w:val="fr-BE"/>
        </w:rPr>
      </w:pPr>
      <w:r w:rsidRPr="00FB0D93">
        <w:rPr>
          <w:szCs w:val="18"/>
          <w:lang w:val="fr-BE"/>
        </w:rPr>
        <w:br w:type="page"/>
      </w:r>
    </w:p>
    <w:p w14:paraId="69DDAF4A" w14:textId="70067308" w:rsidR="00181E64" w:rsidRPr="00FB0D93" w:rsidRDefault="00181E64" w:rsidP="00BC309D">
      <w:pPr>
        <w:rPr>
          <w:szCs w:val="18"/>
          <w:lang w:val="fr-BE"/>
        </w:rPr>
      </w:pPr>
      <w:r w:rsidRPr="00FB0D93">
        <w:rPr>
          <w:noProof/>
          <w:lang w:val="fr-BE" w:eastAsia="fr-BE"/>
        </w:rPr>
        <w:lastRenderedPageBreak/>
        <w:drawing>
          <wp:inline distT="0" distB="0" distL="0" distR="0" wp14:anchorId="5A4A42A3" wp14:editId="74F0C968">
            <wp:extent cx="5759450" cy="97558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755803"/>
                    </a:xfrm>
                    <a:prstGeom prst="rect">
                      <a:avLst/>
                    </a:prstGeom>
                    <a:noFill/>
                    <a:ln>
                      <a:noFill/>
                    </a:ln>
                  </pic:spPr>
                </pic:pic>
              </a:graphicData>
            </a:graphic>
          </wp:inline>
        </w:drawing>
      </w:r>
    </w:p>
    <w:p w14:paraId="0769D380" w14:textId="0C343974" w:rsidR="00D46DDB" w:rsidRPr="00FB0D93" w:rsidRDefault="00937206">
      <w:pPr>
        <w:pStyle w:val="Titre1"/>
        <w:tabs>
          <w:tab w:val="clear" w:pos="425"/>
          <w:tab w:val="num" w:pos="426"/>
        </w:tabs>
        <w:ind w:left="426" w:hanging="426"/>
        <w:contextualSpacing w:val="0"/>
        <w:rPr>
          <w:lang w:val="fr-BE"/>
        </w:rPr>
      </w:pPr>
      <w:bookmarkStart w:id="11" w:name="_Toc20298005"/>
      <w:r w:rsidRPr="00FB0D93">
        <w:rPr>
          <w:lang w:val="fr-BE"/>
        </w:rPr>
        <w:lastRenderedPageBreak/>
        <w:t>Aperçu</w:t>
      </w:r>
      <w:r w:rsidR="002A107E" w:rsidRPr="00FB0D93">
        <w:rPr>
          <w:lang w:val="fr-BE"/>
        </w:rPr>
        <w:t xml:space="preserve"> des emplacements de bulles à verre lors du démarrage de la </w:t>
      </w:r>
      <w:r w:rsidRPr="00FB0D93">
        <w:rPr>
          <w:lang w:val="fr-BE"/>
        </w:rPr>
        <w:t>C</w:t>
      </w:r>
      <w:r w:rsidR="002A107E" w:rsidRPr="00FB0D93">
        <w:rPr>
          <w:lang w:val="fr-BE"/>
        </w:rPr>
        <w:t>onvention</w:t>
      </w:r>
      <w:r w:rsidR="00D81FBB" w:rsidRPr="00FB0D93">
        <w:rPr>
          <w:rStyle w:val="Appelnotedebasdep"/>
          <w:lang w:val="fr-BE"/>
        </w:rPr>
        <w:footnoteReference w:id="1"/>
      </w:r>
      <w:r w:rsidR="00BC309D" w:rsidRPr="00FB0D93">
        <w:rPr>
          <w:lang w:val="fr-BE"/>
        </w:rPr>
        <w:t xml:space="preserve"> </w:t>
      </w:r>
      <w:r w:rsidR="002A107E" w:rsidRPr="00FB0D93">
        <w:rPr>
          <w:sz w:val="34"/>
          <w:szCs w:val="34"/>
          <w:bdr w:val="single" w:sz="4" w:space="0" w:color="000000"/>
          <w:lang w:val="fr-BE"/>
        </w:rPr>
        <w:t>A</w:t>
      </w:r>
      <w:bookmarkEnd w:id="11"/>
      <w:r w:rsidR="00177760" w:rsidRPr="00FB0D93">
        <w:rPr>
          <w:lang w:val="fr-BE"/>
        </w:rPr>
        <w:tab/>
      </w:r>
      <w:r w:rsidR="00177760" w:rsidRPr="00FB0D93">
        <w:rPr>
          <w:lang w:val="fr-BE"/>
        </w:rPr>
        <w:tab/>
      </w:r>
      <w:r w:rsidR="00177760" w:rsidRPr="00FB0D93">
        <w:rPr>
          <w:lang w:val="fr-BE"/>
        </w:rPr>
        <w:tab/>
      </w:r>
    </w:p>
    <w:p w14:paraId="0769D381" w14:textId="4652E615" w:rsidR="00D46DDB" w:rsidRPr="00FB0D93" w:rsidRDefault="00214154">
      <w:pPr>
        <w:pStyle w:val="Titre1"/>
        <w:tabs>
          <w:tab w:val="clear" w:pos="425"/>
          <w:tab w:val="num" w:pos="426"/>
        </w:tabs>
        <w:ind w:left="426" w:hanging="426"/>
        <w:contextualSpacing w:val="0"/>
        <w:rPr>
          <w:lang w:val="fr-BE"/>
        </w:rPr>
      </w:pPr>
      <w:r w:rsidRPr="00FB0D93" w:rsidDel="00214154">
        <w:rPr>
          <w:lang w:val="fr-BE"/>
        </w:rPr>
        <w:lastRenderedPageBreak/>
        <w:t xml:space="preserve"> </w:t>
      </w:r>
      <w:bookmarkStart w:id="12" w:name="_Toc20298006"/>
      <w:r w:rsidR="00BC309D" w:rsidRPr="00FB0D93">
        <w:rPr>
          <w:lang w:val="fr-BE"/>
        </w:rPr>
        <w:t xml:space="preserve">Description </w:t>
      </w:r>
      <w:r w:rsidR="002A107E" w:rsidRPr="00FB0D93">
        <w:rPr>
          <w:lang w:val="fr-BE"/>
        </w:rPr>
        <w:t xml:space="preserve">de l’intervention de Fost plus dans les frais à </w:t>
      </w:r>
      <w:r w:rsidR="00BC309D" w:rsidRPr="00FB0D93">
        <w:rPr>
          <w:lang w:val="fr-BE"/>
        </w:rPr>
        <w:t>diverses occasions</w:t>
      </w:r>
      <w:r w:rsidR="00A804C1" w:rsidRPr="00FB0D93">
        <w:rPr>
          <w:lang w:val="fr-BE"/>
        </w:rPr>
        <w:t xml:space="preserve"> </w:t>
      </w:r>
      <w:r w:rsidR="00BC309D" w:rsidRPr="00FB0D93">
        <w:rPr>
          <w:sz w:val="34"/>
          <w:szCs w:val="34"/>
          <w:bdr w:val="single" w:sz="4" w:space="0" w:color="000000"/>
          <w:lang w:val="fr-BE"/>
        </w:rPr>
        <w:t>A</w:t>
      </w:r>
      <w:bookmarkEnd w:id="12"/>
    </w:p>
    <w:p w14:paraId="0769D382" w14:textId="77777777" w:rsidR="00BC309D" w:rsidRPr="00FB0D93" w:rsidRDefault="002A107E" w:rsidP="00450A03">
      <w:pPr>
        <w:pStyle w:val="Titre2"/>
        <w:numPr>
          <w:ilvl w:val="0"/>
          <w:numId w:val="0"/>
        </w:numPr>
        <w:rPr>
          <w:lang w:val="fr-BE"/>
        </w:rPr>
      </w:pPr>
      <w:r w:rsidRPr="00FB0D93">
        <w:rPr>
          <w:szCs w:val="24"/>
          <w:lang w:val="fr-BE"/>
        </w:rPr>
        <w:t xml:space="preserve">11.1 </w:t>
      </w:r>
      <w:r w:rsidRPr="00FB0D93">
        <w:rPr>
          <w:lang w:val="fr-BE"/>
        </w:rPr>
        <w:t>Description des modalités de collaboration et de financement des actions en matière de sensibilisation et de communication</w:t>
      </w:r>
    </w:p>
    <w:p w14:paraId="0769D383" w14:textId="0D689A9B" w:rsidR="00BC309D" w:rsidRPr="00FB0D93" w:rsidRDefault="002A107E" w:rsidP="00BC309D">
      <w:pPr>
        <w:rPr>
          <w:lang w:val="fr-BE"/>
        </w:rPr>
      </w:pPr>
      <w:r w:rsidRPr="00FB0D93">
        <w:rPr>
          <w:lang w:val="fr-BE"/>
        </w:rPr>
        <w:t xml:space="preserve">Fost Plus interviendra financièrement dans les coûts d’information et de sensibilisation des habitants des communes, pour qu’ils participent un maximum à un tri convenable des différentes fractions de </w:t>
      </w:r>
      <w:r w:rsidR="00A05E92" w:rsidRPr="00FB0D93">
        <w:rPr>
          <w:lang w:val="fr-BE"/>
        </w:rPr>
        <w:t xml:space="preserve">Déchets </w:t>
      </w:r>
      <w:r w:rsidRPr="00FB0D93">
        <w:rPr>
          <w:lang w:val="fr-BE"/>
        </w:rPr>
        <w:t>d’emballages</w:t>
      </w:r>
      <w:r w:rsidR="00A05E92" w:rsidRPr="00FB0D93">
        <w:rPr>
          <w:lang w:val="fr-BE"/>
        </w:rPr>
        <w:t xml:space="preserve"> d’origine ménagère</w:t>
      </w:r>
      <w:r w:rsidR="00BC309D" w:rsidRPr="00FB0D93">
        <w:rPr>
          <w:lang w:val="fr-BE"/>
        </w:rPr>
        <w:t xml:space="preserve">. </w:t>
      </w:r>
      <w:r w:rsidRPr="00FB0D93">
        <w:rPr>
          <w:lang w:val="fr-BE"/>
        </w:rPr>
        <w:t>A cet effet,</w:t>
      </w:r>
      <w:r w:rsidR="00BC309D" w:rsidRPr="00FB0D93">
        <w:rPr>
          <w:lang w:val="fr-BE"/>
        </w:rPr>
        <w:t xml:space="preserve"> Fost Plus met à disposition chaque année </w:t>
      </w:r>
      <w:r w:rsidRPr="00FB0D93">
        <w:rPr>
          <w:lang w:val="fr-BE"/>
        </w:rPr>
        <w:t>un montant de base</w:t>
      </w:r>
      <w:r w:rsidR="00F437B7" w:rsidRPr="00FB0D93">
        <w:rPr>
          <w:lang w:val="fr-BE"/>
        </w:rPr>
        <w:t>, hors TVA,</w:t>
      </w:r>
      <w:r w:rsidR="00567322" w:rsidRPr="00FB0D93">
        <w:rPr>
          <w:lang w:val="fr-BE"/>
        </w:rPr>
        <w:t xml:space="preserve"> de 0,</w:t>
      </w:r>
      <w:r w:rsidR="007B5DEB" w:rsidRPr="00FB0D93">
        <w:rPr>
          <w:lang w:val="fr-BE"/>
        </w:rPr>
        <w:t>30 </w:t>
      </w:r>
      <w:r w:rsidR="00BC309D" w:rsidRPr="00FB0D93">
        <w:rPr>
          <w:lang w:val="fr-BE"/>
        </w:rPr>
        <w:t xml:space="preserve">EUR/habitant </w:t>
      </w:r>
      <w:r w:rsidRPr="00FB0D93">
        <w:rPr>
          <w:lang w:val="fr-BE"/>
        </w:rPr>
        <w:t>(à indexer selon l’agrément)</w:t>
      </w:r>
      <w:r w:rsidR="00BC309D" w:rsidRPr="00FB0D93">
        <w:rPr>
          <w:lang w:val="fr-BE"/>
        </w:rPr>
        <w:t xml:space="preserve"> pour la communication locale. Ce budget ne peut être dépassé. L’éventuel solde restant à la fin de l’année calendrier est automatiquement transféré à l’année calendrier suivante, mais le solde à reporter est plafonné au budget annuel.</w:t>
      </w:r>
    </w:p>
    <w:p w14:paraId="0769D384" w14:textId="000A7F8B" w:rsidR="00BC309D" w:rsidRPr="00FB0D93" w:rsidRDefault="002A107E" w:rsidP="00BC309D">
      <w:pPr>
        <w:rPr>
          <w:lang w:val="fr-BE"/>
        </w:rPr>
      </w:pPr>
      <w:r w:rsidRPr="00FB0D93">
        <w:rPr>
          <w:lang w:val="fr-BE"/>
        </w:rPr>
        <w:t>Au début de</w:t>
      </w:r>
      <w:r w:rsidR="00BC309D" w:rsidRPr="00FB0D93">
        <w:rPr>
          <w:lang w:val="fr-BE"/>
        </w:rPr>
        <w:t xml:space="preserve"> chaque </w:t>
      </w:r>
      <w:r w:rsidRPr="00FB0D93">
        <w:rPr>
          <w:lang w:val="fr-BE"/>
        </w:rPr>
        <w:t>nouvelle</w:t>
      </w:r>
      <w:r w:rsidR="00BC309D" w:rsidRPr="00FB0D93">
        <w:rPr>
          <w:lang w:val="fr-BE"/>
        </w:rPr>
        <w:t xml:space="preserve"> année </w:t>
      </w:r>
      <w:r w:rsidR="0087615B" w:rsidRPr="00FB0D93">
        <w:rPr>
          <w:lang w:val="fr-BE"/>
        </w:rPr>
        <w:t>calendrier</w:t>
      </w:r>
      <w:r w:rsidRPr="00FB0D93">
        <w:rPr>
          <w:lang w:val="fr-BE"/>
        </w:rPr>
        <w:t>, une stratégie globale</w:t>
      </w:r>
      <w:r w:rsidR="00BC309D" w:rsidRPr="00FB0D93">
        <w:rPr>
          <w:lang w:val="fr-BE"/>
        </w:rPr>
        <w:t xml:space="preserve"> de communication est établie de commun accord entre Fost Plus et l’INTERCOMMUNALE. </w:t>
      </w:r>
      <w:r w:rsidRPr="00FB0D93">
        <w:rPr>
          <w:lang w:val="fr-BE"/>
        </w:rPr>
        <w:t xml:space="preserve">Cette stratégie doit aboutir à un plan définitif de communication, formellement approuvé par les deux </w:t>
      </w:r>
      <w:r w:rsidR="00A44D28" w:rsidRPr="00FB0D93">
        <w:rPr>
          <w:lang w:val="fr-BE"/>
        </w:rPr>
        <w:t>Parties</w:t>
      </w:r>
      <w:r w:rsidRPr="00FB0D93">
        <w:rPr>
          <w:lang w:val="fr-BE"/>
        </w:rPr>
        <w:t xml:space="preserve">, qui reprend en détail les actions à entreprendre, ainsi que les montants exigés par action, et qui peut notamment prévoir – à la demande de l’INTERCOMMUNALE – la conduite d’actions spécifiques de communication, en faisant appel à </w:t>
      </w:r>
      <w:r w:rsidR="00893FB2" w:rsidRPr="00FB0D93">
        <w:rPr>
          <w:lang w:val="fr-BE"/>
        </w:rPr>
        <w:t>son propre personnel</w:t>
      </w:r>
      <w:r w:rsidR="00D81FBB" w:rsidRPr="00FB0D93">
        <w:rPr>
          <w:lang w:val="fr-BE"/>
        </w:rPr>
        <w:t xml:space="preserve"> et/ou </w:t>
      </w:r>
      <w:r w:rsidRPr="00FB0D93">
        <w:rPr>
          <w:lang w:val="fr-BE"/>
        </w:rPr>
        <w:t xml:space="preserve">des </w:t>
      </w:r>
      <w:r w:rsidR="00905FA2" w:rsidRPr="00FB0D93">
        <w:rPr>
          <w:lang w:val="fr-BE"/>
        </w:rPr>
        <w:t>conseillers</w:t>
      </w:r>
      <w:r w:rsidRPr="00FB0D93">
        <w:rPr>
          <w:lang w:val="fr-BE"/>
        </w:rPr>
        <w:t xml:space="preserve"> en environnement.</w:t>
      </w:r>
    </w:p>
    <w:p w14:paraId="0769D385" w14:textId="40A5E5F7" w:rsidR="00BC309D" w:rsidRPr="00FB0D93" w:rsidRDefault="00BC309D" w:rsidP="00BC309D">
      <w:pPr>
        <w:rPr>
          <w:lang w:val="fr-BE"/>
        </w:rPr>
      </w:pPr>
      <w:r w:rsidRPr="00FB0D93">
        <w:rPr>
          <w:lang w:val="fr-BE"/>
        </w:rPr>
        <w:t xml:space="preserve">Les </w:t>
      </w:r>
      <w:r w:rsidR="00A44D28" w:rsidRPr="00FB0D93">
        <w:rPr>
          <w:lang w:val="fr-BE"/>
        </w:rPr>
        <w:t xml:space="preserve">Parties </w:t>
      </w:r>
      <w:r w:rsidRPr="00FB0D93">
        <w:rPr>
          <w:lang w:val="fr-BE"/>
        </w:rPr>
        <w:t xml:space="preserve">peuvent formuler, à cet égard, des propositions dans le cadre desquelles Fost Plus et l’INTERCOMMUNALE vérifieront de commun accord dans quelle mesure ces propositions répondent aux critères susmentionnés et dans quelle mesure elles peuvent être intégrées dans le budget disponible. Au cas où les propositions ou les initiatives dépasseraient, au plan du contenu, la problématique des </w:t>
      </w:r>
      <w:r w:rsidR="00E44A9C" w:rsidRPr="00FB0D93">
        <w:rPr>
          <w:lang w:val="fr-BE"/>
        </w:rPr>
        <w:t>D</w:t>
      </w:r>
      <w:r w:rsidRPr="00FB0D93">
        <w:rPr>
          <w:lang w:val="fr-BE"/>
        </w:rPr>
        <w:t xml:space="preserve">échets d’emballages </w:t>
      </w:r>
      <w:r w:rsidR="00A05E92" w:rsidRPr="00FB0D93">
        <w:rPr>
          <w:lang w:val="fr-BE"/>
        </w:rPr>
        <w:t>d’origine ménagère</w:t>
      </w:r>
      <w:r w:rsidRPr="00FB0D93">
        <w:rPr>
          <w:lang w:val="fr-BE"/>
        </w:rPr>
        <w:t>, une clé de répartition sera, à cette fin, convenue au préalable en cas d’implications budgétaires.</w:t>
      </w:r>
    </w:p>
    <w:p w14:paraId="0769D386" w14:textId="77777777" w:rsidR="00BC309D" w:rsidRPr="00FB0D93" w:rsidRDefault="00BC309D" w:rsidP="00BC309D">
      <w:pPr>
        <w:rPr>
          <w:lang w:val="fr-BE"/>
        </w:rPr>
      </w:pPr>
      <w:r w:rsidRPr="00FB0D93">
        <w:rPr>
          <w:lang w:val="fr-BE"/>
        </w:rPr>
        <w:t>Fost Plus ne mettra, à aucun moment, le budget prévu inconditionnellement à disposition pour une utilisation par l’INTERCOMMUNALE. Aucune initiative communale ou intercommunale dans le domaine de la sensibilisation ou de l’information ne sera, en d’autres termes, financée par Fost Plus sans avoir été soumise au préalable à Fost Plus et approuvée par Fost Plus, tant en ce qui concerne le contenu que la forme et le prix.</w:t>
      </w:r>
    </w:p>
    <w:p w14:paraId="0769D387" w14:textId="77777777" w:rsidR="00BC309D" w:rsidRPr="00FB0D93" w:rsidRDefault="00BC309D" w:rsidP="00BC309D">
      <w:pPr>
        <w:rPr>
          <w:lang w:val="fr-BE"/>
        </w:rPr>
      </w:pPr>
      <w:r w:rsidRPr="00FB0D93">
        <w:rPr>
          <w:lang w:val="fr-BE"/>
        </w:rPr>
        <w:t>La base des plans de communication comprendra toujours des informations pratiques pour les citoyens. Les calendriers de collecte en sont une partie essentielle. Par souci de clarté à l’égard des citoyens, ces calendriers de collecte peuvent contenir, outre des informations à propos des fractions d’emballages, des informations pratiques concernant les modalités de tri et de collecte des fractions non-emballages.</w:t>
      </w:r>
    </w:p>
    <w:p w14:paraId="0769D388" w14:textId="77777777" w:rsidR="00BC309D" w:rsidRPr="00FB0D93" w:rsidRDefault="00BC309D" w:rsidP="00BC309D">
      <w:pPr>
        <w:rPr>
          <w:lang w:val="fr-BE"/>
        </w:rPr>
      </w:pPr>
      <w:r w:rsidRPr="00FB0D93">
        <w:rPr>
          <w:lang w:val="fr-BE"/>
        </w:rPr>
        <w:t>Lors de chaque production de matériel de communication à distribuer en porte-à-porte, un solde sera mis à la disposition des communes afin de compenser les éventuels problèmes au niveau de la distribution.</w:t>
      </w:r>
    </w:p>
    <w:p w14:paraId="0769D389" w14:textId="77777777" w:rsidR="00BC309D" w:rsidRPr="00FB0D93" w:rsidRDefault="004E61C7" w:rsidP="001A5D82">
      <w:pPr>
        <w:pStyle w:val="Titre2"/>
        <w:numPr>
          <w:ilvl w:val="0"/>
          <w:numId w:val="0"/>
        </w:numPr>
        <w:ind w:left="576" w:hanging="576"/>
        <w:rPr>
          <w:lang w:val="fr-BE"/>
        </w:rPr>
      </w:pPr>
      <w:r w:rsidRPr="00FB0D93">
        <w:rPr>
          <w:lang w:val="fr-BE"/>
        </w:rPr>
        <w:t xml:space="preserve">11.2 </w:t>
      </w:r>
      <w:r w:rsidR="00BC309D" w:rsidRPr="00FB0D93">
        <w:rPr>
          <w:lang w:val="fr-BE"/>
        </w:rPr>
        <w:t>Projet destiné aux écoles</w:t>
      </w:r>
    </w:p>
    <w:p w14:paraId="0769D38A" w14:textId="1F0D71C6" w:rsidR="00BC309D" w:rsidRPr="00FB0D93" w:rsidRDefault="00BC309D" w:rsidP="00BC309D">
      <w:pPr>
        <w:rPr>
          <w:lang w:val="fr-BE"/>
        </w:rPr>
      </w:pPr>
      <w:r w:rsidRPr="00FB0D93">
        <w:rPr>
          <w:lang w:val="fr-BE"/>
        </w:rPr>
        <w:t xml:space="preserve">Fost Plus fournit </w:t>
      </w:r>
      <w:r w:rsidR="007B5DEB" w:rsidRPr="00FB0D93">
        <w:rPr>
          <w:lang w:val="fr-BE"/>
        </w:rPr>
        <w:t>sur la base du besoin concret</w:t>
      </w:r>
      <w:r w:rsidRPr="00FB0D93">
        <w:rPr>
          <w:lang w:val="fr-BE"/>
        </w:rPr>
        <w:t xml:space="preserve"> de l’INTERCOMMUNALE le paquet suivant en vue de soutenir la collecte sélective des </w:t>
      </w:r>
      <w:r w:rsidR="00E44A9C" w:rsidRPr="00FB0D93">
        <w:rPr>
          <w:lang w:val="fr-BE"/>
        </w:rPr>
        <w:t>D</w:t>
      </w:r>
      <w:r w:rsidRPr="00FB0D93">
        <w:rPr>
          <w:lang w:val="fr-BE"/>
        </w:rPr>
        <w:t xml:space="preserve">échets d’emballages </w:t>
      </w:r>
      <w:r w:rsidR="00E44A9C" w:rsidRPr="00FB0D93">
        <w:rPr>
          <w:lang w:val="fr-BE"/>
        </w:rPr>
        <w:t>d’origine ménagère</w:t>
      </w:r>
      <w:r w:rsidR="00E44A9C" w:rsidRPr="00FB0D93" w:rsidDel="00E44A9C">
        <w:rPr>
          <w:lang w:val="fr-BE"/>
        </w:rPr>
        <w:t xml:space="preserve"> </w:t>
      </w:r>
      <w:r w:rsidRPr="00FB0D93">
        <w:rPr>
          <w:lang w:val="fr-BE"/>
        </w:rPr>
        <w:t>dans les écoles de l’enseignement maternel, primaire et secondaire :</w:t>
      </w:r>
    </w:p>
    <w:p w14:paraId="0769D38B" w14:textId="77777777" w:rsidR="00BC309D" w:rsidRPr="00FB0D93" w:rsidRDefault="00567322" w:rsidP="00BC309D">
      <w:pPr>
        <w:pStyle w:val="Listepuces"/>
        <w:rPr>
          <w:lang w:val="fr-BE"/>
        </w:rPr>
      </w:pPr>
      <w:r w:rsidRPr="00FB0D93">
        <w:rPr>
          <w:lang w:val="fr-BE"/>
        </w:rPr>
        <w:t>Conteneur de 120 </w:t>
      </w:r>
      <w:r w:rsidR="00BC309D" w:rsidRPr="00FB0D93">
        <w:rPr>
          <w:lang w:val="fr-BE"/>
        </w:rPr>
        <w:t>l en plastique bleu pour les PMC : 1</w:t>
      </w:r>
      <w:r w:rsidRPr="00FB0D93">
        <w:rPr>
          <w:lang w:val="fr-BE"/>
        </w:rPr>
        <w:t> conteneur pour 50 </w:t>
      </w:r>
      <w:r w:rsidR="00BC309D" w:rsidRPr="00FB0D93">
        <w:rPr>
          <w:lang w:val="fr-BE"/>
        </w:rPr>
        <w:t>élèves,</w:t>
      </w:r>
    </w:p>
    <w:p w14:paraId="0769D38D" w14:textId="2934C01F" w:rsidR="00BC309D" w:rsidRPr="00FB0D93" w:rsidRDefault="00BC309D" w:rsidP="00BC309D">
      <w:pPr>
        <w:pStyle w:val="Listepuces"/>
        <w:rPr>
          <w:lang w:val="fr-BE"/>
        </w:rPr>
      </w:pPr>
      <w:r w:rsidRPr="00FB0D93">
        <w:rPr>
          <w:lang w:val="fr-BE"/>
        </w:rPr>
        <w:t>Corbeilles à papier en plastique : 1 par classe + 1 pour 50</w:t>
      </w:r>
      <w:r w:rsidR="00567322" w:rsidRPr="00FB0D93">
        <w:rPr>
          <w:lang w:val="fr-BE"/>
        </w:rPr>
        <w:t> </w:t>
      </w:r>
      <w:r w:rsidRPr="00FB0D93">
        <w:rPr>
          <w:lang w:val="fr-BE"/>
        </w:rPr>
        <w:t xml:space="preserve">élèves pour les bureaux, </w:t>
      </w:r>
    </w:p>
    <w:p w14:paraId="0769D38E" w14:textId="77777777" w:rsidR="00BC309D" w:rsidRPr="00FB0D93" w:rsidRDefault="00BC309D" w:rsidP="00BC309D">
      <w:pPr>
        <w:pStyle w:val="Listepuces"/>
        <w:rPr>
          <w:lang w:val="fr-BE"/>
        </w:rPr>
      </w:pPr>
      <w:r w:rsidRPr="00FB0D93">
        <w:rPr>
          <w:lang w:val="fr-BE"/>
        </w:rPr>
        <w:t>Conteneurs de 1100</w:t>
      </w:r>
      <w:r w:rsidR="00567322" w:rsidRPr="00FB0D93">
        <w:rPr>
          <w:lang w:val="fr-BE"/>
        </w:rPr>
        <w:t> </w:t>
      </w:r>
      <w:r w:rsidRPr="00FB0D93">
        <w:rPr>
          <w:lang w:val="fr-BE"/>
        </w:rPr>
        <w:t xml:space="preserve">l en </w:t>
      </w:r>
      <w:r w:rsidR="00567322" w:rsidRPr="00FB0D93">
        <w:rPr>
          <w:lang w:val="fr-BE"/>
        </w:rPr>
        <w:t>plastique bleu pour les PMC : 1 </w:t>
      </w:r>
      <w:r w:rsidRPr="00FB0D93">
        <w:rPr>
          <w:lang w:val="fr-BE"/>
        </w:rPr>
        <w:t>conteneur pour les écoles d</w:t>
      </w:r>
      <w:r w:rsidR="00567322" w:rsidRPr="00FB0D93">
        <w:rPr>
          <w:lang w:val="fr-BE"/>
        </w:rPr>
        <w:t>e moins de 800 élèves et 2 </w:t>
      </w:r>
      <w:r w:rsidRPr="00FB0D93">
        <w:rPr>
          <w:lang w:val="fr-BE"/>
        </w:rPr>
        <w:t>conteneurs pour les écoles de plus de 800</w:t>
      </w:r>
      <w:r w:rsidR="00567322" w:rsidRPr="00FB0D93">
        <w:rPr>
          <w:lang w:val="fr-BE"/>
        </w:rPr>
        <w:t> </w:t>
      </w:r>
      <w:r w:rsidRPr="00FB0D93">
        <w:rPr>
          <w:lang w:val="fr-BE"/>
        </w:rPr>
        <w:t>élèves,</w:t>
      </w:r>
    </w:p>
    <w:p w14:paraId="0769D38F" w14:textId="77777777" w:rsidR="00BC309D" w:rsidRPr="00FB0D93" w:rsidRDefault="00567322" w:rsidP="00BC309D">
      <w:pPr>
        <w:pStyle w:val="Listepuces"/>
        <w:rPr>
          <w:lang w:val="fr-BE"/>
        </w:rPr>
      </w:pPr>
      <w:r w:rsidRPr="00FB0D93">
        <w:rPr>
          <w:lang w:val="fr-BE"/>
        </w:rPr>
        <w:t>Conteneurs de 1100 </w:t>
      </w:r>
      <w:r w:rsidR="00BC309D" w:rsidRPr="00FB0D93">
        <w:rPr>
          <w:lang w:val="fr-BE"/>
        </w:rPr>
        <w:t>l en plastique jaune pour le papier-carton : 1</w:t>
      </w:r>
      <w:r w:rsidRPr="00FB0D93">
        <w:rPr>
          <w:lang w:val="fr-BE"/>
        </w:rPr>
        <w:t> </w:t>
      </w:r>
      <w:r w:rsidR="00BC309D" w:rsidRPr="00FB0D93">
        <w:rPr>
          <w:lang w:val="fr-BE"/>
        </w:rPr>
        <w:t xml:space="preserve">conteneur </w:t>
      </w:r>
      <w:r w:rsidRPr="00FB0D93">
        <w:rPr>
          <w:lang w:val="fr-BE"/>
        </w:rPr>
        <w:t>pour les écoles de moins de 800 élèves et 2 </w:t>
      </w:r>
      <w:r w:rsidR="00BC309D" w:rsidRPr="00FB0D93">
        <w:rPr>
          <w:lang w:val="fr-BE"/>
        </w:rPr>
        <w:t>conteneurs</w:t>
      </w:r>
      <w:r w:rsidRPr="00FB0D93">
        <w:rPr>
          <w:lang w:val="fr-BE"/>
        </w:rPr>
        <w:t xml:space="preserve"> pour les écoles de plus de 800 </w:t>
      </w:r>
      <w:r w:rsidR="00BC309D" w:rsidRPr="00FB0D93">
        <w:rPr>
          <w:lang w:val="fr-BE"/>
        </w:rPr>
        <w:t xml:space="preserve">élèves, financés </w:t>
      </w:r>
      <w:r w:rsidRPr="00FB0D93">
        <w:rPr>
          <w:lang w:val="fr-BE"/>
        </w:rPr>
        <w:t>à concurrence de 50</w:t>
      </w:r>
      <w:r w:rsidR="00BC309D" w:rsidRPr="00FB0D93">
        <w:rPr>
          <w:lang w:val="fr-BE"/>
        </w:rPr>
        <w:t>% par Fost Plus.</w:t>
      </w:r>
    </w:p>
    <w:p w14:paraId="0769D390" w14:textId="386CA6FF" w:rsidR="00BC309D" w:rsidRPr="00FB0D93" w:rsidRDefault="00B658E3" w:rsidP="00BC309D">
      <w:pPr>
        <w:rPr>
          <w:lang w:val="fr-BE"/>
        </w:rPr>
      </w:pPr>
      <w:r w:rsidRPr="00FB0D93">
        <w:rPr>
          <w:lang w:val="fr-BE"/>
        </w:rPr>
        <w:lastRenderedPageBreak/>
        <w:t>Ces conteneurs et corbeilles sont uniquement mis à disposition pour autant que l</w:t>
      </w:r>
      <w:r w:rsidR="00BC309D" w:rsidRPr="00FB0D93">
        <w:rPr>
          <w:lang w:val="fr-BE"/>
        </w:rPr>
        <w:t xml:space="preserve">e papier-carton et les PMC collectés </w:t>
      </w:r>
      <w:r w:rsidRPr="00FB0D93">
        <w:rPr>
          <w:lang w:val="fr-BE"/>
        </w:rPr>
        <w:t xml:space="preserve">soient </w:t>
      </w:r>
      <w:r w:rsidR="00BC309D" w:rsidRPr="00FB0D93">
        <w:rPr>
          <w:lang w:val="fr-BE"/>
        </w:rPr>
        <w:t>introduits dans le circuit de la collecte en porte-à-porte existant.</w:t>
      </w:r>
    </w:p>
    <w:p w14:paraId="0769D391" w14:textId="1FA08CAB" w:rsidR="00BC309D" w:rsidRPr="00FB0D93" w:rsidRDefault="00567322" w:rsidP="00BC309D">
      <w:pPr>
        <w:rPr>
          <w:lang w:val="fr-BE"/>
        </w:rPr>
      </w:pPr>
      <w:r w:rsidRPr="00FB0D93">
        <w:rPr>
          <w:lang w:val="fr-BE"/>
        </w:rPr>
        <w:t>Les sacs PMC de 120 </w:t>
      </w:r>
      <w:r w:rsidR="00BC309D" w:rsidRPr="00FB0D93">
        <w:rPr>
          <w:lang w:val="fr-BE"/>
        </w:rPr>
        <w:t xml:space="preserve">l destinés aux écoles sont commandés et distribués par l’INTERCOMMUNALE et ne sont mis en vente que par le biais </w:t>
      </w:r>
      <w:r w:rsidR="00656706" w:rsidRPr="00FB0D93">
        <w:rPr>
          <w:lang w:val="fr-BE"/>
        </w:rPr>
        <w:t>de l’INTERCOMMUNALE ou de la commune</w:t>
      </w:r>
      <w:r w:rsidR="00BC309D" w:rsidRPr="00FB0D93">
        <w:rPr>
          <w:lang w:val="fr-BE"/>
        </w:rPr>
        <w:t>. Le prix pratiqué pour les écoles sera au maximum égal au prix d’achat.</w:t>
      </w:r>
    </w:p>
    <w:p w14:paraId="0769D392" w14:textId="77777777" w:rsidR="00BC309D" w:rsidRPr="00FB0D93" w:rsidRDefault="00BC309D" w:rsidP="00BC309D">
      <w:pPr>
        <w:rPr>
          <w:lang w:val="fr-BE"/>
        </w:rPr>
      </w:pPr>
      <w:r w:rsidRPr="00FB0D93">
        <w:rPr>
          <w:lang w:val="fr-BE"/>
        </w:rPr>
        <w:t xml:space="preserve">Le fournisseur désigné par Fost Plus fournit les conteneurs pour PMC et les corbeilles à papier à une adresse </w:t>
      </w:r>
      <w:r w:rsidR="00937206" w:rsidRPr="00FB0D93">
        <w:rPr>
          <w:lang w:val="fr-BE"/>
        </w:rPr>
        <w:t>au sein de</w:t>
      </w:r>
      <w:r w:rsidRPr="00FB0D93">
        <w:rPr>
          <w:lang w:val="fr-BE"/>
        </w:rPr>
        <w:t xml:space="preserve"> l’INTERCOMMUNALE.</w:t>
      </w:r>
    </w:p>
    <w:p w14:paraId="0769D393" w14:textId="77777777" w:rsidR="00BC309D" w:rsidRPr="00FB0D93" w:rsidRDefault="00BC309D" w:rsidP="00BC309D">
      <w:pPr>
        <w:rPr>
          <w:lang w:val="fr-BE"/>
        </w:rPr>
      </w:pPr>
      <w:r w:rsidRPr="00FB0D93">
        <w:rPr>
          <w:lang w:val="fr-BE"/>
        </w:rPr>
        <w:t xml:space="preserve">L’INTERCOMMUNALE assume à ses propres frais et en concertation avec les communes : </w:t>
      </w:r>
    </w:p>
    <w:p w14:paraId="0769D394" w14:textId="77777777" w:rsidR="00BC309D" w:rsidRPr="00FB0D93" w:rsidRDefault="00BC309D" w:rsidP="00BC309D">
      <w:pPr>
        <w:pStyle w:val="Listepuces"/>
        <w:rPr>
          <w:lang w:val="fr-BE"/>
        </w:rPr>
      </w:pPr>
      <w:r w:rsidRPr="00FB0D93">
        <w:rPr>
          <w:lang w:val="fr-BE"/>
        </w:rPr>
        <w:t>l’envoi de la demande de collaboration aux écoles ;</w:t>
      </w:r>
    </w:p>
    <w:p w14:paraId="0769D395" w14:textId="77777777" w:rsidR="00BC309D" w:rsidRPr="00FB0D93" w:rsidRDefault="00BC309D" w:rsidP="00BC309D">
      <w:pPr>
        <w:pStyle w:val="Listepuces"/>
        <w:rPr>
          <w:lang w:val="fr-BE"/>
        </w:rPr>
      </w:pPr>
      <w:r w:rsidRPr="00FB0D93">
        <w:rPr>
          <w:lang w:val="fr-BE"/>
        </w:rPr>
        <w:t xml:space="preserve">l’établissement et l’actualisation de la </w:t>
      </w:r>
      <w:r w:rsidR="00F46960" w:rsidRPr="00FB0D93">
        <w:rPr>
          <w:lang w:val="fr-BE"/>
        </w:rPr>
        <w:t>base</w:t>
      </w:r>
      <w:r w:rsidRPr="00FB0D93">
        <w:rPr>
          <w:lang w:val="fr-BE"/>
        </w:rPr>
        <w:t xml:space="preserve"> de données des écoles participantes ;</w:t>
      </w:r>
    </w:p>
    <w:p w14:paraId="0769D396" w14:textId="77777777" w:rsidR="00BC309D" w:rsidRPr="00FB0D93" w:rsidRDefault="00BC309D" w:rsidP="00BC309D">
      <w:pPr>
        <w:pStyle w:val="Listepuces"/>
        <w:rPr>
          <w:lang w:val="fr-BE"/>
        </w:rPr>
      </w:pPr>
      <w:r w:rsidRPr="00FB0D93">
        <w:rPr>
          <w:lang w:val="fr-BE"/>
        </w:rPr>
        <w:t>la distribution des récipients dans les écoles ;</w:t>
      </w:r>
    </w:p>
    <w:p w14:paraId="0769D397" w14:textId="77777777" w:rsidR="00BC309D" w:rsidRPr="00FB0D93" w:rsidRDefault="00BC309D" w:rsidP="00BC309D">
      <w:pPr>
        <w:pStyle w:val="Listepuces"/>
        <w:rPr>
          <w:lang w:val="fr-BE"/>
        </w:rPr>
      </w:pPr>
      <w:r w:rsidRPr="00FB0D93">
        <w:rPr>
          <w:lang w:val="fr-BE"/>
        </w:rPr>
        <w:t>la collecte des bons de livraisons signés pour réception.</w:t>
      </w:r>
    </w:p>
    <w:p w14:paraId="0769D398" w14:textId="3F6DA935" w:rsidR="00FA5869" w:rsidRPr="00FB0D93" w:rsidRDefault="00FA5869" w:rsidP="00FA5869">
      <w:pPr>
        <w:pStyle w:val="Listepuces"/>
        <w:numPr>
          <w:ilvl w:val="0"/>
          <w:numId w:val="0"/>
        </w:numPr>
        <w:rPr>
          <w:lang w:val="fr-BE"/>
        </w:rPr>
      </w:pPr>
    </w:p>
    <w:p w14:paraId="6D013808" w14:textId="7DB119DD" w:rsidR="00656706" w:rsidRPr="00FB0D93" w:rsidRDefault="00656706" w:rsidP="00FA5869">
      <w:pPr>
        <w:pStyle w:val="Listepuces"/>
        <w:numPr>
          <w:ilvl w:val="0"/>
          <w:numId w:val="0"/>
        </w:numPr>
        <w:rPr>
          <w:lang w:val="fr-BE"/>
        </w:rPr>
      </w:pPr>
      <w:r w:rsidRPr="00FB0D93">
        <w:rPr>
          <w:lang w:val="fr-BE"/>
        </w:rPr>
        <w:t>L’INTERCOMMUNALE justifie sa commande de matériel pour les écoles en transmettant à Fost Plus une liste des écoles qui commandent du matériel ou auprès desquelles l’INTERCOMMUNALE a constaté un besoin.</w:t>
      </w:r>
    </w:p>
    <w:p w14:paraId="5F701E55" w14:textId="77777777" w:rsidR="00656706" w:rsidRPr="00FB0D93" w:rsidRDefault="00656706" w:rsidP="00FA5869">
      <w:pPr>
        <w:pStyle w:val="Listepuces"/>
        <w:numPr>
          <w:ilvl w:val="0"/>
          <w:numId w:val="0"/>
        </w:numPr>
        <w:rPr>
          <w:lang w:val="fr-BE"/>
        </w:rPr>
      </w:pPr>
    </w:p>
    <w:p w14:paraId="0769D399" w14:textId="605252AE" w:rsidR="00BC309D" w:rsidRPr="00FB0D93" w:rsidRDefault="00BC309D" w:rsidP="00BC309D">
      <w:pPr>
        <w:rPr>
          <w:lang w:val="fr-BE"/>
        </w:rPr>
      </w:pPr>
      <w:r w:rsidRPr="00FB0D93">
        <w:rPr>
          <w:lang w:val="fr-BE"/>
        </w:rPr>
        <w:t xml:space="preserve">Les </w:t>
      </w:r>
      <w:r w:rsidR="00A44D28" w:rsidRPr="00FB0D93">
        <w:rPr>
          <w:lang w:val="fr-BE"/>
        </w:rPr>
        <w:t xml:space="preserve">Parties </w:t>
      </w:r>
      <w:r w:rsidRPr="00FB0D93">
        <w:rPr>
          <w:lang w:val="fr-BE"/>
        </w:rPr>
        <w:t>reconnaissent que les conteneurs pour PMC et les corbeilles à papier sont la propriété de l’INTERCOMMUNALE ou de ses communes et que la distribution de ceux-ci se fait sous la responsabilité de l’INTERCOMMUNALE et/ou de ses communes.</w:t>
      </w:r>
    </w:p>
    <w:p w14:paraId="0769D39A" w14:textId="513ABAF2" w:rsidR="00BC309D" w:rsidRPr="00FB0D93" w:rsidRDefault="00BC309D" w:rsidP="00BC309D">
      <w:pPr>
        <w:rPr>
          <w:lang w:val="fr-BE"/>
        </w:rPr>
      </w:pPr>
      <w:r w:rsidRPr="00FB0D93">
        <w:rPr>
          <w:lang w:val="fr-BE"/>
        </w:rPr>
        <w:t xml:space="preserve">Les </w:t>
      </w:r>
      <w:r w:rsidR="00A44D28" w:rsidRPr="00FB0D93">
        <w:rPr>
          <w:lang w:val="fr-BE"/>
        </w:rPr>
        <w:t xml:space="preserve">Parties </w:t>
      </w:r>
      <w:r w:rsidRPr="00FB0D93">
        <w:rPr>
          <w:lang w:val="fr-BE"/>
        </w:rPr>
        <w:t>reconnaissent que les dispositions susmentionnées ne s’appliquent qu’aux écoles qui n’ont pas encore eu recours à cette intervention.</w:t>
      </w:r>
    </w:p>
    <w:p w14:paraId="0769D3A6" w14:textId="170F0238" w:rsidR="00707379" w:rsidRPr="00FB0D93" w:rsidRDefault="002A107E" w:rsidP="00904401">
      <w:pPr>
        <w:pStyle w:val="Titre2"/>
        <w:numPr>
          <w:ilvl w:val="0"/>
          <w:numId w:val="0"/>
        </w:numPr>
        <w:ind w:left="851" w:hanging="851"/>
        <w:rPr>
          <w:lang w:val="fr-BE" w:eastAsia="fr-FR"/>
        </w:rPr>
      </w:pPr>
      <w:r w:rsidRPr="00FB0D93">
        <w:rPr>
          <w:lang w:val="fr-BE"/>
        </w:rPr>
        <w:t xml:space="preserve">11.3 </w:t>
      </w:r>
      <w:r w:rsidRPr="00FB0D93">
        <w:rPr>
          <w:lang w:val="fr-BE" w:eastAsia="fr-FR"/>
        </w:rPr>
        <w:t xml:space="preserve">Renforcement des sites </w:t>
      </w:r>
      <w:r w:rsidR="00BC309D" w:rsidRPr="00FB0D93">
        <w:rPr>
          <w:lang w:val="fr-BE" w:eastAsia="fr-FR"/>
        </w:rPr>
        <w:t>de bulles à verre</w:t>
      </w:r>
    </w:p>
    <w:p w14:paraId="0769D3AB" w14:textId="3B4F5A21" w:rsidR="00BC309D" w:rsidRPr="00FB0D93" w:rsidRDefault="00BC309D" w:rsidP="00FA5869">
      <w:pPr>
        <w:rPr>
          <w:lang w:val="fr-BE"/>
        </w:rPr>
      </w:pPr>
      <w:r w:rsidRPr="00FB0D93">
        <w:rPr>
          <w:lang w:val="fr-BE"/>
        </w:rPr>
        <w:t>Fost Plus intervient financièrement pour le renforcement des sites de bulles à verre n’ayant pas</w:t>
      </w:r>
      <w:r w:rsidR="00FA5869" w:rsidRPr="00FB0D93">
        <w:rPr>
          <w:lang w:val="fr-BE"/>
        </w:rPr>
        <w:t xml:space="preserve"> </w:t>
      </w:r>
      <w:r w:rsidRPr="00FB0D93">
        <w:rPr>
          <w:lang w:val="fr-BE"/>
        </w:rPr>
        <w:t xml:space="preserve">encore de renforcements. L’intercommunale s’engage à exécuter ces </w:t>
      </w:r>
      <w:r w:rsidR="00E44A9C" w:rsidRPr="00FB0D93">
        <w:rPr>
          <w:lang w:val="fr-BE"/>
        </w:rPr>
        <w:t xml:space="preserve">travaux </w:t>
      </w:r>
      <w:r w:rsidRPr="00FB0D93">
        <w:rPr>
          <w:lang w:val="fr-BE"/>
        </w:rPr>
        <w:t>selon le cahier de</w:t>
      </w:r>
      <w:r w:rsidR="00FA5869" w:rsidRPr="00FB0D93">
        <w:rPr>
          <w:lang w:val="fr-BE"/>
        </w:rPr>
        <w:t xml:space="preserve"> charges repris à l’Annexe </w:t>
      </w:r>
      <w:r w:rsidR="00214154" w:rsidRPr="00FB0D93">
        <w:rPr>
          <w:lang w:val="fr-BE"/>
        </w:rPr>
        <w:t>12</w:t>
      </w:r>
      <w:r w:rsidRPr="00FB0D93">
        <w:rPr>
          <w:lang w:val="fr-BE"/>
        </w:rPr>
        <w:t xml:space="preserve"> de la </w:t>
      </w:r>
      <w:r w:rsidR="00F46960" w:rsidRPr="00FB0D93">
        <w:rPr>
          <w:lang w:val="fr-BE"/>
        </w:rPr>
        <w:t>présente C</w:t>
      </w:r>
      <w:r w:rsidRPr="00FB0D93">
        <w:rPr>
          <w:lang w:val="fr-BE"/>
        </w:rPr>
        <w:t>onvention. L’intervention financière s’effectue aux conditions</w:t>
      </w:r>
      <w:r w:rsidR="00F46960" w:rsidRPr="00FB0D93">
        <w:rPr>
          <w:lang w:val="fr-BE"/>
        </w:rPr>
        <w:t xml:space="preserve"> </w:t>
      </w:r>
      <w:r w:rsidRPr="00FB0D93">
        <w:rPr>
          <w:lang w:val="fr-BE"/>
        </w:rPr>
        <w:t>suivantes :</w:t>
      </w:r>
    </w:p>
    <w:p w14:paraId="0769D3AC" w14:textId="77777777" w:rsidR="00BC309D" w:rsidRPr="00FB0D93" w:rsidRDefault="00BC309D" w:rsidP="001F41C0">
      <w:pPr>
        <w:pStyle w:val="Listepuces"/>
        <w:rPr>
          <w:lang w:val="fr-BE"/>
        </w:rPr>
      </w:pPr>
      <w:r w:rsidRPr="00FB0D93">
        <w:rPr>
          <w:lang w:val="fr-BE"/>
        </w:rPr>
        <w:t>la consultation d’au moins 5</w:t>
      </w:r>
      <w:r w:rsidR="00FA5869" w:rsidRPr="00FB0D93">
        <w:rPr>
          <w:lang w:val="fr-BE"/>
        </w:rPr>
        <w:t> </w:t>
      </w:r>
      <w:r w:rsidRPr="00FB0D93">
        <w:rPr>
          <w:lang w:val="fr-BE"/>
        </w:rPr>
        <w:t>entreprises pour l’appel d’offr</w:t>
      </w:r>
      <w:r w:rsidR="00FA5869" w:rsidRPr="00FB0D93">
        <w:rPr>
          <w:lang w:val="fr-BE"/>
        </w:rPr>
        <w:t>es et la réception d’au moins 3 </w:t>
      </w:r>
      <w:r w:rsidRPr="00FB0D93">
        <w:rPr>
          <w:lang w:val="fr-BE"/>
        </w:rPr>
        <w:t>offres</w:t>
      </w:r>
    </w:p>
    <w:p w14:paraId="0769D3AD" w14:textId="77777777" w:rsidR="00BC309D" w:rsidRPr="00FB0D93" w:rsidRDefault="00BC309D" w:rsidP="001F41C0">
      <w:pPr>
        <w:pStyle w:val="Listepuces"/>
        <w:numPr>
          <w:ilvl w:val="0"/>
          <w:numId w:val="0"/>
        </w:numPr>
        <w:ind w:left="199"/>
        <w:rPr>
          <w:lang w:val="fr-BE"/>
        </w:rPr>
      </w:pPr>
      <w:r w:rsidRPr="00FB0D93">
        <w:rPr>
          <w:lang w:val="fr-BE"/>
        </w:rPr>
        <w:t>valables s’avèrent nécessaires ;</w:t>
      </w:r>
    </w:p>
    <w:p w14:paraId="0769D3AE" w14:textId="77777777" w:rsidR="00BC309D" w:rsidRPr="00FB0D93" w:rsidRDefault="00BC309D" w:rsidP="001F41C0">
      <w:pPr>
        <w:pStyle w:val="Listepuces"/>
        <w:rPr>
          <w:lang w:val="fr-BE"/>
        </w:rPr>
      </w:pPr>
      <w:r w:rsidRPr="00FB0D93">
        <w:rPr>
          <w:lang w:val="fr-BE"/>
        </w:rPr>
        <w:t>l’accord préalable de Fost Plus est requis pour l’attribution du marché ;</w:t>
      </w:r>
    </w:p>
    <w:p w14:paraId="0769D3B1" w14:textId="6E41877E" w:rsidR="00BC309D" w:rsidRPr="00FB0D93" w:rsidRDefault="001F41C0" w:rsidP="001F41C0">
      <w:pPr>
        <w:pStyle w:val="Listepuces"/>
        <w:numPr>
          <w:ilvl w:val="0"/>
          <w:numId w:val="0"/>
        </w:numPr>
        <w:ind w:left="199"/>
        <w:rPr>
          <w:lang w:val="fr-BE"/>
        </w:rPr>
      </w:pPr>
      <w:r w:rsidRPr="00FB0D93">
        <w:rPr>
          <w:lang w:val="fr-BE"/>
        </w:rPr>
        <w:t>a</w:t>
      </w:r>
      <w:r w:rsidR="00BC309D" w:rsidRPr="00FB0D93">
        <w:rPr>
          <w:lang w:val="fr-BE"/>
        </w:rPr>
        <w:t xml:space="preserve">u cas où l’INTERCOMMUNALE dérogerait au </w:t>
      </w:r>
      <w:r w:rsidR="00E44A9C" w:rsidRPr="00FB0D93">
        <w:rPr>
          <w:lang w:val="fr-BE"/>
        </w:rPr>
        <w:t xml:space="preserve">modèle de </w:t>
      </w:r>
      <w:r w:rsidR="00BC309D" w:rsidRPr="00FB0D93">
        <w:rPr>
          <w:lang w:val="fr-BE"/>
        </w:rPr>
        <w:t>cahier des char</w:t>
      </w:r>
      <w:r w:rsidR="00FA5869" w:rsidRPr="00FB0D93">
        <w:rPr>
          <w:lang w:val="fr-BE"/>
        </w:rPr>
        <w:t>ges tel qu’il figure à l’Annexe </w:t>
      </w:r>
      <w:r w:rsidR="00214154" w:rsidRPr="00FB0D93">
        <w:rPr>
          <w:lang w:val="fr-BE"/>
        </w:rPr>
        <w:t>12</w:t>
      </w:r>
      <w:r w:rsidR="00BC309D" w:rsidRPr="00FB0D93">
        <w:rPr>
          <w:lang w:val="fr-BE"/>
        </w:rPr>
        <w:t xml:space="preserve"> de</w:t>
      </w:r>
      <w:r w:rsidR="00E44A9C" w:rsidRPr="00FB0D93">
        <w:rPr>
          <w:lang w:val="fr-BE"/>
        </w:rPr>
        <w:t xml:space="preserve"> </w:t>
      </w:r>
      <w:r w:rsidR="00BC309D" w:rsidRPr="00FB0D93">
        <w:rPr>
          <w:lang w:val="fr-BE"/>
        </w:rPr>
        <w:t>la Convention, l’intervention financière de Fost Plus sera calculée sur la base d’un coût de</w:t>
      </w:r>
      <w:r w:rsidR="00E44A9C" w:rsidRPr="00FB0D93">
        <w:rPr>
          <w:lang w:val="fr-BE"/>
        </w:rPr>
        <w:t xml:space="preserve"> </w:t>
      </w:r>
      <w:r w:rsidR="00BC309D" w:rsidRPr="00FB0D93">
        <w:rPr>
          <w:lang w:val="fr-BE"/>
        </w:rPr>
        <w:t xml:space="preserve">référence établi par Fost Plus, qui reflète le prix moyen forfaitaire des </w:t>
      </w:r>
      <w:r w:rsidR="00E44A9C" w:rsidRPr="00FB0D93">
        <w:rPr>
          <w:lang w:val="fr-BE"/>
        </w:rPr>
        <w:t xml:space="preserve">travaux </w:t>
      </w:r>
      <w:r w:rsidR="00BC309D" w:rsidRPr="00FB0D93">
        <w:rPr>
          <w:lang w:val="fr-BE"/>
        </w:rPr>
        <w:t>;</w:t>
      </w:r>
    </w:p>
    <w:p w14:paraId="0769D3B2" w14:textId="77777777" w:rsidR="00BC309D" w:rsidRPr="00FB0D93" w:rsidRDefault="001F41C0" w:rsidP="001F41C0">
      <w:pPr>
        <w:pStyle w:val="Listepuces"/>
        <w:rPr>
          <w:lang w:val="fr-BE"/>
        </w:rPr>
      </w:pPr>
      <w:r w:rsidRPr="00FB0D93">
        <w:rPr>
          <w:lang w:val="fr-BE"/>
        </w:rPr>
        <w:t>l</w:t>
      </w:r>
      <w:r w:rsidR="00BC309D" w:rsidRPr="00FB0D93">
        <w:rPr>
          <w:lang w:val="fr-BE"/>
        </w:rPr>
        <w:t>e nombre et l’identification des sites de bulles à verre à renforcer devront être justifiés au</w:t>
      </w:r>
    </w:p>
    <w:p w14:paraId="0769D3B3" w14:textId="77777777" w:rsidR="00BC309D" w:rsidRPr="00FB0D93" w:rsidRDefault="00BC309D" w:rsidP="001F41C0">
      <w:pPr>
        <w:pStyle w:val="Listepuces"/>
        <w:numPr>
          <w:ilvl w:val="0"/>
          <w:numId w:val="0"/>
        </w:numPr>
        <w:ind w:left="199"/>
        <w:rPr>
          <w:lang w:val="fr-BE"/>
        </w:rPr>
      </w:pPr>
      <w:r w:rsidRPr="00FB0D93">
        <w:rPr>
          <w:lang w:val="fr-BE"/>
        </w:rPr>
        <w:t>moyen d’éléments convaincants.</w:t>
      </w:r>
    </w:p>
    <w:p w14:paraId="0769D3B4" w14:textId="77777777" w:rsidR="00FA5869" w:rsidRPr="00FB0D93" w:rsidRDefault="00FA5869" w:rsidP="00FA5869">
      <w:pPr>
        <w:pStyle w:val="Listepuces"/>
        <w:numPr>
          <w:ilvl w:val="0"/>
          <w:numId w:val="0"/>
        </w:numPr>
        <w:ind w:left="199" w:hanging="199"/>
        <w:rPr>
          <w:lang w:val="fr-BE"/>
        </w:rPr>
      </w:pPr>
    </w:p>
    <w:p w14:paraId="0769D3B5" w14:textId="0C55080C" w:rsidR="00805ABA" w:rsidRPr="00FB0D93" w:rsidRDefault="00BC309D" w:rsidP="00FA5869">
      <w:pPr>
        <w:rPr>
          <w:lang w:val="fr-BE"/>
        </w:rPr>
      </w:pPr>
      <w:r w:rsidRPr="00FB0D93">
        <w:rPr>
          <w:lang w:val="fr-BE"/>
        </w:rPr>
        <w:t>Si une ou plusieurs communes souhaitent procéder au renforcement des sites de bulles à verre au</w:t>
      </w:r>
      <w:r w:rsidR="00FA5869" w:rsidRPr="00FB0D93">
        <w:rPr>
          <w:lang w:val="fr-BE"/>
        </w:rPr>
        <w:t xml:space="preserve"> </w:t>
      </w:r>
      <w:r w:rsidRPr="00FB0D93">
        <w:rPr>
          <w:lang w:val="fr-BE"/>
        </w:rPr>
        <w:t>sein de leur commune en régie propre, la ou les communes concernées devront l’effectuer au</w:t>
      </w:r>
      <w:r w:rsidR="00FA5869" w:rsidRPr="00FB0D93">
        <w:rPr>
          <w:lang w:val="fr-BE"/>
        </w:rPr>
        <w:t xml:space="preserve"> </w:t>
      </w:r>
      <w:r w:rsidRPr="00FB0D93">
        <w:rPr>
          <w:lang w:val="fr-BE"/>
        </w:rPr>
        <w:t>minimum conformément aux conditions reprises dans le cahier des charges (Annexe</w:t>
      </w:r>
      <w:r w:rsidR="00FA5869" w:rsidRPr="00FB0D93">
        <w:rPr>
          <w:lang w:val="fr-BE"/>
        </w:rPr>
        <w:t> </w:t>
      </w:r>
      <w:r w:rsidR="00214154" w:rsidRPr="00FB0D93">
        <w:rPr>
          <w:lang w:val="fr-BE"/>
        </w:rPr>
        <w:t>12</w:t>
      </w:r>
      <w:r w:rsidRPr="00FB0D93">
        <w:rPr>
          <w:lang w:val="fr-BE"/>
        </w:rPr>
        <w:t>).</w:t>
      </w:r>
      <w:r w:rsidR="00FA5869" w:rsidRPr="00FB0D93">
        <w:rPr>
          <w:lang w:val="fr-BE"/>
        </w:rPr>
        <w:t xml:space="preserve"> </w:t>
      </w:r>
      <w:r w:rsidRPr="00FB0D93">
        <w:rPr>
          <w:lang w:val="fr-BE"/>
        </w:rPr>
        <w:t>L’intervention financière de Fost Plus s’effectuera selon le tarif de l’offre retenue suite à l’étude de</w:t>
      </w:r>
      <w:r w:rsidR="00FA5869" w:rsidRPr="00FB0D93">
        <w:rPr>
          <w:lang w:val="fr-BE"/>
        </w:rPr>
        <w:t xml:space="preserve"> </w:t>
      </w:r>
      <w:r w:rsidRPr="00FB0D93">
        <w:rPr>
          <w:lang w:val="fr-BE"/>
        </w:rPr>
        <w:t>marché effectuée pour le reste du territoire selon la procédure décrite ci-dessus ou, à défaut d’une</w:t>
      </w:r>
      <w:r w:rsidR="00FA5869" w:rsidRPr="00FB0D93">
        <w:rPr>
          <w:lang w:val="fr-BE"/>
        </w:rPr>
        <w:t xml:space="preserve"> </w:t>
      </w:r>
      <w:r w:rsidRPr="00FB0D93">
        <w:rPr>
          <w:lang w:val="fr-BE"/>
        </w:rPr>
        <w:t>étude de marché, selon le coût de référence établi par Fost Plus pour de tels travaux.</w:t>
      </w:r>
      <w:r w:rsidR="00FA5869" w:rsidRPr="00FB0D93">
        <w:rPr>
          <w:lang w:val="fr-BE"/>
        </w:rPr>
        <w:t xml:space="preserve"> </w:t>
      </w:r>
    </w:p>
    <w:p w14:paraId="0769D3B6" w14:textId="5F73E8D7" w:rsidR="00BC309D" w:rsidRPr="00FB0D93" w:rsidRDefault="00805ABA" w:rsidP="00FA5869">
      <w:pPr>
        <w:rPr>
          <w:lang w:val="fr-BE"/>
        </w:rPr>
      </w:pPr>
      <w:r w:rsidRPr="00FB0D93">
        <w:rPr>
          <w:lang w:val="fr-BE"/>
        </w:rPr>
        <w:t>L</w:t>
      </w:r>
      <w:r w:rsidR="00BC309D" w:rsidRPr="00FB0D93">
        <w:rPr>
          <w:lang w:val="fr-BE"/>
        </w:rPr>
        <w:t xml:space="preserve">es </w:t>
      </w:r>
      <w:r w:rsidR="00E44A9C" w:rsidRPr="00FB0D93">
        <w:rPr>
          <w:lang w:val="fr-BE"/>
        </w:rPr>
        <w:t xml:space="preserve">Parties </w:t>
      </w:r>
      <w:r w:rsidR="00BC309D" w:rsidRPr="00FB0D93">
        <w:rPr>
          <w:lang w:val="fr-BE"/>
        </w:rPr>
        <w:t>reconnaissent que les dispositions précitées ne s’appliquent qu’aux sites de bulles à</w:t>
      </w:r>
      <w:r w:rsidR="00FA5869" w:rsidRPr="00FB0D93">
        <w:rPr>
          <w:lang w:val="fr-BE"/>
        </w:rPr>
        <w:t xml:space="preserve"> </w:t>
      </w:r>
      <w:r w:rsidR="00BC309D" w:rsidRPr="00FB0D93">
        <w:rPr>
          <w:lang w:val="fr-BE"/>
        </w:rPr>
        <w:t>verre pour lesquels il n’a pas encore été fait appel à cette intervention.</w:t>
      </w:r>
    </w:p>
    <w:p w14:paraId="0769D3B7" w14:textId="77777777" w:rsidR="00BC309D" w:rsidRPr="00FB0D93" w:rsidRDefault="00BC309D" w:rsidP="001F41C0">
      <w:pPr>
        <w:rPr>
          <w:lang w:val="fr-BE"/>
        </w:rPr>
      </w:pPr>
    </w:p>
    <w:p w14:paraId="0769D3B8" w14:textId="2471A6F2" w:rsidR="00D46DDB" w:rsidRPr="00FB0D93" w:rsidRDefault="00BC309D">
      <w:pPr>
        <w:pStyle w:val="Titre1"/>
        <w:tabs>
          <w:tab w:val="clear" w:pos="425"/>
          <w:tab w:val="num" w:pos="426"/>
        </w:tabs>
        <w:ind w:left="426" w:hanging="426"/>
        <w:contextualSpacing w:val="0"/>
        <w:rPr>
          <w:lang w:val="fr-BE"/>
        </w:rPr>
      </w:pPr>
      <w:r w:rsidRPr="00FB0D93">
        <w:rPr>
          <w:lang w:val="fr-BE"/>
        </w:rPr>
        <w:lastRenderedPageBreak/>
        <w:t xml:space="preserve"> </w:t>
      </w:r>
      <w:bookmarkStart w:id="13" w:name="_Toc20298007"/>
      <w:r w:rsidRPr="00FB0D93">
        <w:rPr>
          <w:lang w:val="fr-BE"/>
        </w:rPr>
        <w:t xml:space="preserve">Cahiers des charges spéciaux pour l’exécution ou </w:t>
      </w:r>
      <w:r w:rsidR="006505B1" w:rsidRPr="00FB0D93">
        <w:rPr>
          <w:lang w:val="fr-BE"/>
        </w:rPr>
        <w:t>l’attribution</w:t>
      </w:r>
      <w:r w:rsidR="00A44D28" w:rsidRPr="00FB0D93">
        <w:rPr>
          <w:lang w:val="fr-BE"/>
        </w:rPr>
        <w:t xml:space="preserve"> </w:t>
      </w:r>
      <w:r w:rsidRPr="00FB0D93">
        <w:rPr>
          <w:lang w:val="fr-BE"/>
        </w:rPr>
        <w:t>des activités suivantes</w:t>
      </w:r>
      <w:r w:rsidR="002A107E" w:rsidRPr="00FB0D93">
        <w:rPr>
          <w:lang w:val="fr-BE"/>
        </w:rPr>
        <w:t xml:space="preserve"> </w:t>
      </w:r>
      <w:r w:rsidRPr="00FB0D93">
        <w:rPr>
          <w:sz w:val="34"/>
          <w:szCs w:val="34"/>
          <w:bdr w:val="single" w:sz="4" w:space="0" w:color="000000"/>
          <w:lang w:val="fr-BE"/>
        </w:rPr>
        <w:t>A</w:t>
      </w:r>
      <w:bookmarkEnd w:id="13"/>
      <w:r w:rsidR="00251FD3" w:rsidRPr="00FB0D93">
        <w:rPr>
          <w:b/>
          <w:sz w:val="20"/>
          <w:szCs w:val="20"/>
          <w:lang w:val="fr-BE"/>
        </w:rPr>
        <w:tab/>
      </w:r>
      <w:r w:rsidR="00251FD3" w:rsidRPr="00FB0D93">
        <w:rPr>
          <w:b/>
          <w:sz w:val="20"/>
          <w:szCs w:val="20"/>
          <w:lang w:val="fr-BE"/>
        </w:rPr>
        <w:tab/>
      </w:r>
      <w:r w:rsidR="001E0B4B" w:rsidRPr="00FB0D93">
        <w:rPr>
          <w:b/>
          <w:sz w:val="20"/>
          <w:szCs w:val="20"/>
          <w:lang w:val="fr-BE"/>
        </w:rPr>
        <w:t xml:space="preserve"> </w:t>
      </w:r>
    </w:p>
    <w:p w14:paraId="0769D3B9" w14:textId="77777777" w:rsidR="00BC309D" w:rsidRPr="00FB0D93" w:rsidRDefault="00BC309D" w:rsidP="006318F1">
      <w:pPr>
        <w:pStyle w:val="Titre2"/>
        <w:rPr>
          <w:lang w:val="fr-BE"/>
        </w:rPr>
      </w:pPr>
    </w:p>
    <w:p w14:paraId="0769D3BA" w14:textId="6D0F78F2" w:rsidR="00BC309D" w:rsidRPr="00FB0D93" w:rsidRDefault="00BC309D" w:rsidP="00BC309D">
      <w:pPr>
        <w:pStyle w:val="Listepuces"/>
        <w:rPr>
          <w:lang w:val="fr-BE"/>
        </w:rPr>
      </w:pPr>
      <w:r w:rsidRPr="00FB0D93">
        <w:rPr>
          <w:lang w:val="fr-BE"/>
        </w:rPr>
        <w:t>Cahier des charges pour la collecte du verre</w:t>
      </w:r>
      <w:r w:rsidR="00BE534F" w:rsidRPr="00FB0D93">
        <w:rPr>
          <w:rStyle w:val="Appelnotedebasdep"/>
          <w:lang w:val="fr-BE"/>
        </w:rPr>
        <w:footnoteReference w:id="2"/>
      </w:r>
    </w:p>
    <w:p w14:paraId="0769D3BB" w14:textId="77777777" w:rsidR="00BC309D" w:rsidRPr="00FB0D93" w:rsidRDefault="00BC309D" w:rsidP="00BC309D">
      <w:pPr>
        <w:pStyle w:val="Listepuces"/>
        <w:rPr>
          <w:lang w:val="fr-BE"/>
        </w:rPr>
      </w:pPr>
      <w:r w:rsidRPr="00FB0D93">
        <w:rPr>
          <w:lang w:val="fr-BE"/>
        </w:rPr>
        <w:t>Rapport d’adjudication et lettres d’attribution</w:t>
      </w:r>
    </w:p>
    <w:p w14:paraId="0769D3BC" w14:textId="77777777" w:rsidR="00BC309D" w:rsidRPr="00FB0D93" w:rsidRDefault="00BC309D" w:rsidP="006318F1">
      <w:pPr>
        <w:pStyle w:val="Titre2"/>
        <w:rPr>
          <w:lang w:val="fr-BE"/>
        </w:rPr>
      </w:pPr>
    </w:p>
    <w:p w14:paraId="0769D3BD" w14:textId="7DCEED9E" w:rsidR="00BC309D" w:rsidRPr="00FB0D93" w:rsidRDefault="00BC309D" w:rsidP="00BC309D">
      <w:pPr>
        <w:pStyle w:val="Listepuces"/>
        <w:rPr>
          <w:lang w:val="fr-BE"/>
        </w:rPr>
      </w:pPr>
      <w:r w:rsidRPr="00FB0D93">
        <w:rPr>
          <w:lang w:val="fr-BE"/>
        </w:rPr>
        <w:t>Cahier des charges pour la collecte du papier-carton</w:t>
      </w:r>
      <w:r w:rsidR="00BE534F" w:rsidRPr="00FB0D93">
        <w:rPr>
          <w:rStyle w:val="Appelnotedebasdep"/>
          <w:lang w:val="fr-BE"/>
        </w:rPr>
        <w:footnoteReference w:id="3"/>
      </w:r>
    </w:p>
    <w:p w14:paraId="0769D3BE" w14:textId="77777777" w:rsidR="00BC309D" w:rsidRPr="00FB0D93" w:rsidRDefault="00BC309D" w:rsidP="00BC309D">
      <w:pPr>
        <w:pStyle w:val="Listepuces"/>
        <w:rPr>
          <w:lang w:val="fr-BE"/>
        </w:rPr>
      </w:pPr>
      <w:r w:rsidRPr="00FB0D93">
        <w:rPr>
          <w:lang w:val="fr-BE"/>
        </w:rPr>
        <w:t>Rapport d’adjudication et lettres d’attribution</w:t>
      </w:r>
    </w:p>
    <w:p w14:paraId="0769D3BF" w14:textId="77777777" w:rsidR="00BC309D" w:rsidRPr="00FB0D93" w:rsidRDefault="00BC309D" w:rsidP="006318F1">
      <w:pPr>
        <w:pStyle w:val="Titre2"/>
        <w:rPr>
          <w:lang w:val="fr-BE"/>
        </w:rPr>
      </w:pPr>
    </w:p>
    <w:p w14:paraId="0769D3C0" w14:textId="48192EAB" w:rsidR="00BC309D" w:rsidRPr="00FB0D93" w:rsidRDefault="00BC309D" w:rsidP="00BC309D">
      <w:pPr>
        <w:pStyle w:val="Listepuces"/>
        <w:rPr>
          <w:lang w:val="fr-BE"/>
        </w:rPr>
      </w:pPr>
      <w:r w:rsidRPr="00FB0D93">
        <w:rPr>
          <w:lang w:val="fr-BE"/>
        </w:rPr>
        <w:t>Cahier des charges pour la collecte des PMC</w:t>
      </w:r>
      <w:r w:rsidR="00BE534F" w:rsidRPr="00FB0D93">
        <w:rPr>
          <w:rStyle w:val="Appelnotedebasdep"/>
          <w:lang w:val="fr-BE"/>
        </w:rPr>
        <w:footnoteReference w:id="4"/>
      </w:r>
    </w:p>
    <w:p w14:paraId="0769D3C1" w14:textId="77777777" w:rsidR="00BC309D" w:rsidRPr="00FB0D93" w:rsidRDefault="00BC309D" w:rsidP="00BC309D">
      <w:pPr>
        <w:pStyle w:val="Listepuces"/>
        <w:rPr>
          <w:lang w:val="fr-BE"/>
        </w:rPr>
      </w:pPr>
      <w:r w:rsidRPr="00FB0D93">
        <w:rPr>
          <w:lang w:val="fr-BE"/>
        </w:rPr>
        <w:t>Rapport d’adjudication et lettres d’attribution</w:t>
      </w:r>
    </w:p>
    <w:p w14:paraId="0769D3C2" w14:textId="77777777" w:rsidR="00BC309D" w:rsidRPr="00FB0D93" w:rsidRDefault="00006E5E" w:rsidP="006318F1">
      <w:pPr>
        <w:pStyle w:val="Titre2"/>
        <w:rPr>
          <w:lang w:val="fr-BE"/>
        </w:rPr>
      </w:pPr>
      <w:r w:rsidRPr="00FB0D93">
        <w:rPr>
          <w:lang w:val="fr-BE"/>
        </w:rPr>
        <w:t xml:space="preserve">  </w:t>
      </w:r>
    </w:p>
    <w:p w14:paraId="0769D3C3" w14:textId="77777777" w:rsidR="00BC309D" w:rsidRPr="00FB0D93" w:rsidRDefault="00BC309D" w:rsidP="00BC309D">
      <w:pPr>
        <w:pStyle w:val="Listepuces"/>
        <w:rPr>
          <w:lang w:val="fr-BE"/>
        </w:rPr>
      </w:pPr>
      <w:r w:rsidRPr="00FB0D93">
        <w:rPr>
          <w:lang w:val="fr-BE"/>
        </w:rPr>
        <w:t>Cahier des charges pour le tri des PMC</w:t>
      </w:r>
    </w:p>
    <w:p w14:paraId="0769D3C4" w14:textId="77777777" w:rsidR="00BC309D" w:rsidRPr="00FB0D93" w:rsidRDefault="00BC309D" w:rsidP="00BC309D">
      <w:pPr>
        <w:pStyle w:val="Listepuces"/>
        <w:rPr>
          <w:lang w:val="fr-BE"/>
        </w:rPr>
      </w:pPr>
      <w:r w:rsidRPr="00FB0D93">
        <w:rPr>
          <w:lang w:val="fr-BE"/>
        </w:rPr>
        <w:t>Rapport d’adjudication et lettres d’attribution</w:t>
      </w:r>
    </w:p>
    <w:p w14:paraId="0769D3C5" w14:textId="77777777" w:rsidR="00BC309D" w:rsidRPr="00FB0D93" w:rsidRDefault="00BC309D" w:rsidP="006318F1">
      <w:pPr>
        <w:pStyle w:val="Titre2"/>
        <w:rPr>
          <w:lang w:val="fr-BE"/>
        </w:rPr>
      </w:pPr>
    </w:p>
    <w:p w14:paraId="0769D3C6" w14:textId="77777777" w:rsidR="00BC309D" w:rsidRPr="00FB0D93" w:rsidRDefault="00BC309D" w:rsidP="00BC309D">
      <w:pPr>
        <w:pStyle w:val="Listepuces"/>
        <w:rPr>
          <w:lang w:val="fr-BE"/>
        </w:rPr>
      </w:pPr>
      <w:r w:rsidRPr="00FB0D93">
        <w:rPr>
          <w:lang w:val="fr-BE"/>
        </w:rPr>
        <w:t>Cahier des charges pour la fourniture de sacs PMC</w:t>
      </w:r>
    </w:p>
    <w:p w14:paraId="0769D3C7" w14:textId="77777777" w:rsidR="00BC309D" w:rsidRPr="00FB0D93" w:rsidRDefault="00BC309D" w:rsidP="00BC309D">
      <w:pPr>
        <w:pStyle w:val="Listepuces"/>
        <w:rPr>
          <w:lang w:val="fr-BE"/>
        </w:rPr>
      </w:pPr>
      <w:r w:rsidRPr="00FB0D93">
        <w:rPr>
          <w:lang w:val="fr-BE"/>
        </w:rPr>
        <w:t>Rapport d’adjudication et lettres d’attribution</w:t>
      </w:r>
    </w:p>
    <w:p w14:paraId="0769D3C8" w14:textId="77777777" w:rsidR="00BC309D" w:rsidRPr="00FB0D93" w:rsidRDefault="00BC309D" w:rsidP="006318F1">
      <w:pPr>
        <w:pStyle w:val="Titre2"/>
        <w:rPr>
          <w:lang w:val="fr-BE"/>
        </w:rPr>
      </w:pPr>
    </w:p>
    <w:p w14:paraId="0769D3C9" w14:textId="6A92B192" w:rsidR="00BC309D" w:rsidRPr="00FB0D93" w:rsidRDefault="00BC309D" w:rsidP="00BC309D">
      <w:pPr>
        <w:pStyle w:val="Listepuces"/>
        <w:rPr>
          <w:lang w:val="fr-BE"/>
        </w:rPr>
      </w:pPr>
      <w:r w:rsidRPr="00FB0D93">
        <w:rPr>
          <w:lang w:val="fr-BE"/>
        </w:rPr>
        <w:t>Cahier des charges pour le renforcement des sites de bulles à verre</w:t>
      </w:r>
    </w:p>
    <w:p w14:paraId="0769D3CC" w14:textId="3F422CF8" w:rsidR="00BC309D" w:rsidRPr="00FB0D93" w:rsidRDefault="00BC309D" w:rsidP="00A65015">
      <w:pPr>
        <w:pStyle w:val="Titre1"/>
        <w:tabs>
          <w:tab w:val="clear" w:pos="425"/>
          <w:tab w:val="num" w:pos="426"/>
        </w:tabs>
        <w:ind w:left="426" w:hanging="426"/>
        <w:contextualSpacing w:val="0"/>
        <w:rPr>
          <w:b/>
          <w:sz w:val="20"/>
          <w:szCs w:val="20"/>
          <w:lang w:val="fr-BE"/>
        </w:rPr>
      </w:pPr>
      <w:bookmarkStart w:id="14" w:name="_Toc20298008"/>
      <w:r w:rsidRPr="00FB0D93">
        <w:rPr>
          <w:lang w:val="fr-BE"/>
        </w:rPr>
        <w:lastRenderedPageBreak/>
        <w:t>Transfert et contrôle de</w:t>
      </w:r>
      <w:r w:rsidR="00F46960" w:rsidRPr="00FB0D93">
        <w:rPr>
          <w:lang w:val="fr-BE"/>
        </w:rPr>
        <w:t>s</w:t>
      </w:r>
      <w:r w:rsidRPr="00FB0D93">
        <w:rPr>
          <w:lang w:val="fr-BE"/>
        </w:rPr>
        <w:t xml:space="preserve"> </w:t>
      </w:r>
      <w:r w:rsidR="00905FA2" w:rsidRPr="00FB0D93">
        <w:rPr>
          <w:lang w:val="fr-BE"/>
        </w:rPr>
        <w:t>données A</w:t>
      </w:r>
      <w:bookmarkEnd w:id="14"/>
      <w:r w:rsidR="006E6E8D" w:rsidRPr="00FB0D93">
        <w:rPr>
          <w:b/>
          <w:sz w:val="20"/>
          <w:szCs w:val="20"/>
          <w:lang w:val="fr-BE"/>
        </w:rPr>
        <w:tab/>
      </w:r>
      <w:r w:rsidR="006E6E8D" w:rsidRPr="00FB0D93">
        <w:rPr>
          <w:b/>
          <w:sz w:val="20"/>
          <w:szCs w:val="20"/>
          <w:lang w:val="fr-BE"/>
        </w:rPr>
        <w:tab/>
      </w:r>
    </w:p>
    <w:p w14:paraId="580412BD" w14:textId="7434E8E0" w:rsidR="00A65015" w:rsidRPr="00FB0D93" w:rsidRDefault="00A65015" w:rsidP="00A65015">
      <w:pPr>
        <w:rPr>
          <w:lang w:val="fr-BE"/>
        </w:rPr>
      </w:pPr>
    </w:p>
    <w:p w14:paraId="606E4201" w14:textId="4AECA55E" w:rsidR="00C934B2" w:rsidRPr="00FB0D93" w:rsidRDefault="00C934B2" w:rsidP="00C934B2">
      <w:pPr>
        <w:rPr>
          <w:lang w:val="fr-BE"/>
        </w:rPr>
      </w:pPr>
      <w:r w:rsidRPr="00FB0D93">
        <w:rPr>
          <w:lang w:val="fr-BE"/>
        </w:rPr>
        <w:t>[</w:t>
      </w:r>
      <w:r w:rsidR="00BC733D" w:rsidRPr="00FB0D93">
        <w:rPr>
          <w:lang w:val="fr-BE"/>
        </w:rPr>
        <w:t xml:space="preserve">Cette annexe est à adapter et </w:t>
      </w:r>
      <w:r w:rsidR="00DD2E8E" w:rsidRPr="00FB0D93">
        <w:rPr>
          <w:lang w:val="fr-BE"/>
        </w:rPr>
        <w:t xml:space="preserve">à </w:t>
      </w:r>
      <w:r w:rsidR="00BC733D" w:rsidRPr="00FB0D93">
        <w:rPr>
          <w:lang w:val="fr-BE"/>
        </w:rPr>
        <w:t xml:space="preserve">compléter : </w:t>
      </w:r>
      <w:r w:rsidR="00BC733D" w:rsidRPr="00FB0D93">
        <w:rPr>
          <w:b/>
          <w:lang w:val="fr-BE"/>
        </w:rPr>
        <w:t>procé</w:t>
      </w:r>
      <w:r w:rsidRPr="00FB0D93">
        <w:rPr>
          <w:b/>
          <w:lang w:val="fr-BE"/>
        </w:rPr>
        <w:t>dure</w:t>
      </w:r>
      <w:r w:rsidR="00BC733D" w:rsidRPr="00FB0D93">
        <w:rPr>
          <w:b/>
          <w:lang w:val="fr-BE"/>
        </w:rPr>
        <w:t xml:space="preserve"> c</w:t>
      </w:r>
      <w:r w:rsidR="00DD2E8E" w:rsidRPr="00FB0D93">
        <w:rPr>
          <w:b/>
          <w:lang w:val="fr-BE"/>
        </w:rPr>
        <w:t>omplète en date de conclusion du</w:t>
      </w:r>
      <w:r w:rsidRPr="00FB0D93">
        <w:rPr>
          <w:b/>
          <w:lang w:val="fr-BE"/>
        </w:rPr>
        <w:t xml:space="preserve"> </w:t>
      </w:r>
      <w:r w:rsidR="00905FA2" w:rsidRPr="00FB0D93">
        <w:rPr>
          <w:b/>
          <w:lang w:val="fr-BE"/>
        </w:rPr>
        <w:t>contrat</w:t>
      </w:r>
      <w:r w:rsidR="00905FA2" w:rsidRPr="00FB0D93">
        <w:rPr>
          <w:lang w:val="fr-BE"/>
        </w:rPr>
        <w:t xml:space="preserve"> !</w:t>
      </w:r>
      <w:r w:rsidRPr="00FB0D93">
        <w:rPr>
          <w:lang w:val="fr-BE"/>
        </w:rPr>
        <w:t>]</w:t>
      </w:r>
    </w:p>
    <w:p w14:paraId="0BD024A3" w14:textId="77777777" w:rsidR="00A65015" w:rsidRPr="00FB0D93" w:rsidRDefault="00A65015" w:rsidP="00A65015">
      <w:pPr>
        <w:rPr>
          <w:lang w:val="fr-BE"/>
        </w:rPr>
      </w:pPr>
    </w:p>
    <w:p w14:paraId="0769D3CD" w14:textId="77777777" w:rsidR="00BC309D" w:rsidRPr="00FB0D93" w:rsidRDefault="00BC309D" w:rsidP="006318F1">
      <w:pPr>
        <w:pStyle w:val="Titre2"/>
        <w:rPr>
          <w:lang w:val="fr-BE"/>
        </w:rPr>
      </w:pPr>
      <w:r w:rsidRPr="00FB0D93">
        <w:rPr>
          <w:lang w:val="fr-BE"/>
        </w:rPr>
        <w:t>Principes de fonctionnement</w:t>
      </w:r>
    </w:p>
    <w:p w14:paraId="0769D3CE" w14:textId="77777777" w:rsidR="00BC309D" w:rsidRPr="00FB0D93" w:rsidRDefault="00BC309D" w:rsidP="00BC309D">
      <w:pPr>
        <w:rPr>
          <w:lang w:val="fr-BE"/>
        </w:rPr>
      </w:pPr>
      <w:r w:rsidRPr="00FB0D93">
        <w:rPr>
          <w:lang w:val="fr-BE"/>
        </w:rPr>
        <w:t>La transmission de</w:t>
      </w:r>
      <w:r w:rsidR="00F46960" w:rsidRPr="00FB0D93">
        <w:rPr>
          <w:lang w:val="fr-BE"/>
        </w:rPr>
        <w:t>s</w:t>
      </w:r>
      <w:r w:rsidRPr="00FB0D93">
        <w:rPr>
          <w:lang w:val="fr-BE"/>
        </w:rPr>
        <w:t xml:space="preserve"> données est basée sur un principe de « workflow ». Cela signifie que l’introduction et le contrôle des données de livraison requièrent la collaboration de toutes les parties concernées, à savoir le collecteur et le recycleur, la station de transfert, le centre de tri et l’INTERCOMMUNALE. </w:t>
      </w:r>
    </w:p>
    <w:p w14:paraId="0769D3CF" w14:textId="35EB4450" w:rsidR="00BC309D" w:rsidRPr="00FB0D93" w:rsidRDefault="00656706" w:rsidP="006318F1">
      <w:pPr>
        <w:pStyle w:val="Titre2"/>
        <w:rPr>
          <w:lang w:val="fr-BE"/>
        </w:rPr>
      </w:pPr>
      <w:r w:rsidRPr="00FB0D93">
        <w:rPr>
          <w:lang w:val="fr-BE"/>
        </w:rPr>
        <w:t>Application en ligne</w:t>
      </w:r>
    </w:p>
    <w:p w14:paraId="0769D3D0" w14:textId="65BD5366" w:rsidR="00BC309D" w:rsidRPr="00FB0D93" w:rsidRDefault="00BC309D" w:rsidP="00BC309D">
      <w:pPr>
        <w:rPr>
          <w:lang w:val="fr-BE"/>
        </w:rPr>
      </w:pPr>
      <w:r w:rsidRPr="00FB0D93">
        <w:rPr>
          <w:lang w:val="fr-BE"/>
        </w:rPr>
        <w:t xml:space="preserve">Pour la gestion de toutes les données se rapportant à la collecte sélective, au tri et au recyclage de déchets d’emballages </w:t>
      </w:r>
      <w:r w:rsidR="00893FB2" w:rsidRPr="00FB0D93">
        <w:rPr>
          <w:lang w:val="fr-BE"/>
        </w:rPr>
        <w:t>d’origine ménagère</w:t>
      </w:r>
      <w:r w:rsidRPr="00FB0D93">
        <w:rPr>
          <w:lang w:val="fr-BE"/>
        </w:rPr>
        <w:t>, Fost Plus met u</w:t>
      </w:r>
      <w:r w:rsidR="00656706" w:rsidRPr="00FB0D93">
        <w:rPr>
          <w:lang w:val="fr-BE"/>
        </w:rPr>
        <w:t>ne application en ligne</w:t>
      </w:r>
      <w:r w:rsidR="00843AF4" w:rsidRPr="00FB0D93">
        <w:rPr>
          <w:lang w:val="fr-BE"/>
        </w:rPr>
        <w:t xml:space="preserve"> </w:t>
      </w:r>
      <w:r w:rsidR="00656706" w:rsidRPr="00FB0D93">
        <w:rPr>
          <w:lang w:val="fr-BE"/>
        </w:rPr>
        <w:t>ainsi qu</w:t>
      </w:r>
      <w:r w:rsidR="00843AF4" w:rsidRPr="00FB0D93">
        <w:rPr>
          <w:lang w:val="fr-BE"/>
        </w:rPr>
        <w:t>e</w:t>
      </w:r>
      <w:r w:rsidR="00656706" w:rsidRPr="00FB0D93">
        <w:rPr>
          <w:lang w:val="fr-BE"/>
        </w:rPr>
        <w:t xml:space="preserve"> les données de reporting liées</w:t>
      </w:r>
      <w:r w:rsidR="00843AF4" w:rsidRPr="00FB0D93">
        <w:rPr>
          <w:lang w:val="fr-BE"/>
        </w:rPr>
        <w:t xml:space="preserve"> </w:t>
      </w:r>
      <w:r w:rsidRPr="00FB0D93">
        <w:rPr>
          <w:lang w:val="fr-BE"/>
        </w:rPr>
        <w:t>à la disposition de l’INTERCOMMUNALE.</w:t>
      </w:r>
    </w:p>
    <w:p w14:paraId="492CA896" w14:textId="5D2537D7" w:rsidR="00656706" w:rsidRPr="00FB0D93" w:rsidRDefault="00656706" w:rsidP="00BC309D">
      <w:pPr>
        <w:rPr>
          <w:lang w:val="fr-BE"/>
        </w:rPr>
      </w:pPr>
      <w:r w:rsidRPr="00FB0D93">
        <w:rPr>
          <w:lang w:val="fr-BE"/>
        </w:rPr>
        <w:t xml:space="preserve">Une explication détaillée </w:t>
      </w:r>
      <w:r w:rsidR="008D450B" w:rsidRPr="00FB0D93">
        <w:rPr>
          <w:lang w:val="fr-BE"/>
        </w:rPr>
        <w:t>et actualisée</w:t>
      </w:r>
      <w:r w:rsidR="00C934B2" w:rsidRPr="00FB0D93">
        <w:rPr>
          <w:lang w:val="fr-BE"/>
        </w:rPr>
        <w:t xml:space="preserve"> </w:t>
      </w:r>
      <w:r w:rsidRPr="00FB0D93">
        <w:rPr>
          <w:lang w:val="fr-BE"/>
        </w:rPr>
        <w:t xml:space="preserve">à propos de l’utilisation de l’application en ligne et des exigences </w:t>
      </w:r>
      <w:r w:rsidR="00905FA2" w:rsidRPr="00FB0D93">
        <w:rPr>
          <w:lang w:val="fr-BE"/>
        </w:rPr>
        <w:t xml:space="preserve">minimales </w:t>
      </w:r>
      <w:r w:rsidRPr="00FB0D93">
        <w:rPr>
          <w:lang w:val="fr-BE"/>
        </w:rPr>
        <w:t xml:space="preserve">du système </w:t>
      </w:r>
      <w:r w:rsidR="009170C7" w:rsidRPr="00FB0D93">
        <w:rPr>
          <w:lang w:val="fr-BE"/>
        </w:rPr>
        <w:t>est</w:t>
      </w:r>
      <w:r w:rsidRPr="00FB0D93">
        <w:rPr>
          <w:lang w:val="fr-BE"/>
        </w:rPr>
        <w:t xml:space="preserve"> disponible sur le site Web.</w:t>
      </w:r>
    </w:p>
    <w:p w14:paraId="0769D3EA" w14:textId="1FA1438F" w:rsidR="007B4468" w:rsidRPr="00FB0D93" w:rsidRDefault="007B4468">
      <w:pPr>
        <w:widowControl/>
        <w:adjustRightInd/>
        <w:spacing w:after="0" w:line="240" w:lineRule="auto"/>
        <w:jc w:val="left"/>
        <w:textAlignment w:val="auto"/>
        <w:rPr>
          <w:lang w:val="fr-BE"/>
        </w:rPr>
      </w:pPr>
    </w:p>
    <w:p w14:paraId="46087C10" w14:textId="77777777" w:rsidR="006E6E8D" w:rsidRPr="00FB0D93" w:rsidRDefault="006E6E8D">
      <w:pPr>
        <w:widowControl/>
        <w:adjustRightInd/>
        <w:spacing w:after="0" w:line="240" w:lineRule="auto"/>
        <w:jc w:val="left"/>
        <w:textAlignment w:val="auto"/>
        <w:rPr>
          <w:lang w:val="fr-BE"/>
        </w:rPr>
      </w:pPr>
    </w:p>
    <w:p w14:paraId="0769D3F0" w14:textId="14485EC7" w:rsidR="00BC309D" w:rsidRPr="00FB0D93" w:rsidRDefault="00656706" w:rsidP="00BC309D">
      <w:pPr>
        <w:rPr>
          <w:lang w:val="fr-BE"/>
        </w:rPr>
      </w:pPr>
      <w:r w:rsidRPr="00FB0D93">
        <w:rPr>
          <w:lang w:val="fr-BE"/>
        </w:rPr>
        <w:t>En résumé</w:t>
      </w:r>
      <w:r w:rsidR="00BC309D" w:rsidRPr="00FB0D93">
        <w:rPr>
          <w:lang w:val="fr-BE"/>
        </w:rPr>
        <w:t>, le traitement des données est effectué comme suit :</w:t>
      </w:r>
    </w:p>
    <w:p w14:paraId="0769D3F1" w14:textId="4EA9A115" w:rsidR="00BC309D" w:rsidRPr="00FB0D93" w:rsidRDefault="00BC309D" w:rsidP="00BC309D">
      <w:pPr>
        <w:pStyle w:val="Listenumros"/>
        <w:numPr>
          <w:ilvl w:val="0"/>
          <w:numId w:val="3"/>
        </w:numPr>
        <w:rPr>
          <w:lang w:val="fr-BE"/>
        </w:rPr>
      </w:pPr>
      <w:r w:rsidRPr="00FB0D93">
        <w:rPr>
          <w:lang w:val="fr-BE"/>
        </w:rPr>
        <w:t xml:space="preserve">Lors de chaque livraison de matériel, </w:t>
      </w:r>
      <w:r w:rsidR="00656706" w:rsidRPr="00FB0D93">
        <w:rPr>
          <w:lang w:val="fr-BE"/>
        </w:rPr>
        <w:t xml:space="preserve">un </w:t>
      </w:r>
      <w:r w:rsidR="007B4468" w:rsidRPr="00FB0D93">
        <w:rPr>
          <w:lang w:val="fr-BE"/>
        </w:rPr>
        <w:t>bon de livraison (livcol-</w:t>
      </w:r>
      <w:r w:rsidRPr="00FB0D93">
        <w:rPr>
          <w:lang w:val="fr-BE"/>
        </w:rPr>
        <w:t>bon)</w:t>
      </w:r>
      <w:r w:rsidR="00656706" w:rsidRPr="00FB0D93">
        <w:rPr>
          <w:lang w:val="fr-BE"/>
        </w:rPr>
        <w:t xml:space="preserve"> est introduit dans l’application en ligne</w:t>
      </w:r>
      <w:r w:rsidRPr="00FB0D93">
        <w:rPr>
          <w:lang w:val="fr-BE"/>
        </w:rPr>
        <w:t xml:space="preserve"> </w:t>
      </w:r>
      <w:r w:rsidR="00656706" w:rsidRPr="00FB0D93">
        <w:rPr>
          <w:lang w:val="fr-BE"/>
        </w:rPr>
        <w:t>(projet, collecteur, matériau, quantités, etc.). Le bon de livraison (livcol</w:t>
      </w:r>
      <w:r w:rsidR="006E6E8D" w:rsidRPr="00FB0D93">
        <w:rPr>
          <w:lang w:val="fr-BE"/>
        </w:rPr>
        <w:noBreakHyphen/>
      </w:r>
      <w:r w:rsidR="00656706" w:rsidRPr="00FB0D93">
        <w:rPr>
          <w:lang w:val="fr-BE"/>
        </w:rPr>
        <w:t xml:space="preserve">bon) peut être imprimé. </w:t>
      </w:r>
    </w:p>
    <w:p w14:paraId="0769D3F2" w14:textId="1720B6A2" w:rsidR="00BC309D" w:rsidRPr="00FB0D93" w:rsidRDefault="00656706" w:rsidP="00BC309D">
      <w:pPr>
        <w:pStyle w:val="Listenumros"/>
        <w:rPr>
          <w:lang w:val="fr-BE"/>
        </w:rPr>
      </w:pPr>
      <w:r w:rsidRPr="00FB0D93">
        <w:rPr>
          <w:lang w:val="fr-BE"/>
        </w:rPr>
        <w:t xml:space="preserve">Le bon de livraison est éventuellement encore complété, corrigé et validé par toutes les parties, dans le </w:t>
      </w:r>
      <w:bookmarkStart w:id="15" w:name="_GoBack"/>
      <w:r w:rsidRPr="00FB0D93">
        <w:rPr>
          <w:lang w:val="fr-BE"/>
        </w:rPr>
        <w:t xml:space="preserve">délai </w:t>
      </w:r>
      <w:r w:rsidR="00E72D35" w:rsidRPr="008302BE">
        <w:rPr>
          <w:lang w:val="fr-BE"/>
        </w:rPr>
        <w:t>convenu avec l’</w:t>
      </w:r>
      <w:r w:rsidR="00C80C28" w:rsidRPr="008302BE">
        <w:rPr>
          <w:lang w:val="fr-BE"/>
        </w:rPr>
        <w:t>intercommunale</w:t>
      </w:r>
      <w:r w:rsidRPr="008302BE">
        <w:rPr>
          <w:lang w:val="fr-BE"/>
        </w:rPr>
        <w:t>.</w:t>
      </w:r>
      <w:r w:rsidRPr="00FB0D93">
        <w:rPr>
          <w:lang w:val="fr-BE"/>
        </w:rPr>
        <w:t xml:space="preserve"> </w:t>
      </w:r>
      <w:r w:rsidR="00BC309D" w:rsidRPr="00FB0D93">
        <w:rPr>
          <w:lang w:val="fr-BE"/>
        </w:rPr>
        <w:t xml:space="preserve">Passé </w:t>
      </w:r>
      <w:bookmarkEnd w:id="15"/>
      <w:r w:rsidR="00BC309D" w:rsidRPr="00FB0D93">
        <w:rPr>
          <w:lang w:val="fr-BE"/>
        </w:rPr>
        <w:t xml:space="preserve">ce délai, la validation se fait automatiquement pour autant qu’aucune demande de correction n’ait été introduite. </w:t>
      </w:r>
    </w:p>
    <w:p w14:paraId="0769D3F3" w14:textId="51A75CFB" w:rsidR="00BC309D" w:rsidRPr="00FB0D93" w:rsidRDefault="00BC309D" w:rsidP="00BC309D">
      <w:pPr>
        <w:pStyle w:val="Listenumros"/>
        <w:rPr>
          <w:lang w:val="fr-BE"/>
        </w:rPr>
      </w:pPr>
      <w:r w:rsidRPr="00FB0D93">
        <w:rPr>
          <w:lang w:val="fr-BE"/>
        </w:rPr>
        <w:t xml:space="preserve">En cas de demande de correction, </w:t>
      </w:r>
      <w:r w:rsidR="00656706" w:rsidRPr="00FB0D93">
        <w:rPr>
          <w:lang w:val="fr-BE"/>
        </w:rPr>
        <w:t xml:space="preserve">toutes les </w:t>
      </w:r>
      <w:r w:rsidRPr="00FB0D93">
        <w:rPr>
          <w:lang w:val="fr-BE"/>
        </w:rPr>
        <w:t>partie</w:t>
      </w:r>
      <w:r w:rsidR="00656706" w:rsidRPr="00FB0D93">
        <w:rPr>
          <w:lang w:val="fr-BE"/>
        </w:rPr>
        <w:t xml:space="preserve">s seront </w:t>
      </w:r>
      <w:r w:rsidRPr="00FB0D93">
        <w:rPr>
          <w:lang w:val="fr-BE"/>
        </w:rPr>
        <w:t>impliquée</w:t>
      </w:r>
      <w:r w:rsidR="00656706" w:rsidRPr="00FB0D93">
        <w:rPr>
          <w:lang w:val="fr-BE"/>
        </w:rPr>
        <w:t>s</w:t>
      </w:r>
      <w:r w:rsidRPr="00FB0D93">
        <w:rPr>
          <w:lang w:val="fr-BE"/>
        </w:rPr>
        <w:t xml:space="preserve"> dans l’approbation des données.</w:t>
      </w:r>
    </w:p>
    <w:p w14:paraId="0769D3F6" w14:textId="77777777" w:rsidR="00BC309D" w:rsidRPr="00FB0D93" w:rsidRDefault="00BC309D" w:rsidP="006318F1">
      <w:pPr>
        <w:pStyle w:val="Titre2"/>
        <w:rPr>
          <w:lang w:val="fr-BE"/>
        </w:rPr>
      </w:pPr>
      <w:r w:rsidRPr="00FB0D93">
        <w:rPr>
          <w:lang w:val="fr-BE"/>
        </w:rPr>
        <w:t>Dispositions générales</w:t>
      </w:r>
    </w:p>
    <w:p w14:paraId="0769D3F7" w14:textId="5465EEAE" w:rsidR="00805ABA" w:rsidRPr="00FB0D93" w:rsidRDefault="00BC309D" w:rsidP="00BC309D">
      <w:pPr>
        <w:rPr>
          <w:lang w:val="fr-BE"/>
        </w:rPr>
      </w:pPr>
      <w:r w:rsidRPr="00FB0D93">
        <w:rPr>
          <w:lang w:val="fr-BE"/>
        </w:rPr>
        <w:t xml:space="preserve">L’INTERCOMMUNALE et ses éventuels sous-traitants doivent tenir compte du fait qu’en vertu de développements technologiques notamment, </w:t>
      </w:r>
      <w:r w:rsidR="00656706" w:rsidRPr="00FB0D93">
        <w:rPr>
          <w:lang w:val="fr-BE"/>
        </w:rPr>
        <w:t>les applications en ligne</w:t>
      </w:r>
      <w:r w:rsidRPr="00FB0D93">
        <w:rPr>
          <w:lang w:val="fr-BE"/>
        </w:rPr>
        <w:t xml:space="preserve"> et les procédures peuvent éventuellement subir des modifications à l’avenir. </w:t>
      </w:r>
      <w:r w:rsidR="0087158F" w:rsidRPr="00FB0D93">
        <w:rPr>
          <w:lang w:val="fr-BE"/>
        </w:rPr>
        <w:t>L</w:t>
      </w:r>
      <w:r w:rsidRPr="00FB0D93">
        <w:rPr>
          <w:lang w:val="fr-BE"/>
        </w:rPr>
        <w:t xml:space="preserve">es modifications ne </w:t>
      </w:r>
      <w:r w:rsidR="0087158F" w:rsidRPr="00FB0D93">
        <w:rPr>
          <w:lang w:val="fr-BE"/>
        </w:rPr>
        <w:t xml:space="preserve">faisant pas partie des adaptations techniques normales (« updates »), ne </w:t>
      </w:r>
      <w:r w:rsidRPr="00FB0D93">
        <w:rPr>
          <w:lang w:val="fr-BE"/>
        </w:rPr>
        <w:t xml:space="preserve">peuvent être effectuées qu’après </w:t>
      </w:r>
      <w:r w:rsidR="00656706" w:rsidRPr="00FB0D93">
        <w:rPr>
          <w:lang w:val="fr-BE"/>
        </w:rPr>
        <w:t>communication préalable</w:t>
      </w:r>
      <w:r w:rsidRPr="00FB0D93">
        <w:rPr>
          <w:lang w:val="fr-BE"/>
        </w:rPr>
        <w:t xml:space="preserve">. </w:t>
      </w:r>
      <w:r w:rsidR="0087158F" w:rsidRPr="00FB0D93">
        <w:rPr>
          <w:lang w:val="fr-BE"/>
        </w:rPr>
        <w:t xml:space="preserve">Pour cela, </w:t>
      </w:r>
      <w:r w:rsidRPr="00FB0D93">
        <w:rPr>
          <w:lang w:val="fr-BE"/>
        </w:rPr>
        <w:t xml:space="preserve">les accords nécessaires doivent être passés en ce qui concerne la répartition des surcoûts. Lors de chaque adaptation </w:t>
      </w:r>
      <w:r w:rsidR="00656706" w:rsidRPr="00FB0D93">
        <w:rPr>
          <w:lang w:val="fr-BE"/>
        </w:rPr>
        <w:t>de l’application en ligne</w:t>
      </w:r>
      <w:r w:rsidRPr="00FB0D93">
        <w:rPr>
          <w:lang w:val="fr-BE"/>
        </w:rPr>
        <w:t>, Fost Plus prévoi</w:t>
      </w:r>
      <w:r w:rsidR="0087158F" w:rsidRPr="00FB0D93">
        <w:rPr>
          <w:lang w:val="fr-BE"/>
        </w:rPr>
        <w:t>t</w:t>
      </w:r>
      <w:r w:rsidRPr="00FB0D93">
        <w:rPr>
          <w:lang w:val="fr-BE"/>
        </w:rPr>
        <w:t xml:space="preserve">, à ses frais, des heures de formation suffisantes pour tous les utilisateurs </w:t>
      </w:r>
      <w:r w:rsidR="00656706" w:rsidRPr="00FB0D93">
        <w:rPr>
          <w:lang w:val="fr-BE"/>
        </w:rPr>
        <w:t>de l’application en ligne</w:t>
      </w:r>
      <w:r w:rsidRPr="00FB0D93">
        <w:rPr>
          <w:lang w:val="fr-BE"/>
        </w:rPr>
        <w:t xml:space="preserve">. </w:t>
      </w:r>
    </w:p>
    <w:p w14:paraId="0769D3F8" w14:textId="65827149" w:rsidR="00BC309D" w:rsidRPr="00FB0D93" w:rsidRDefault="00BC309D" w:rsidP="00BC309D">
      <w:pPr>
        <w:rPr>
          <w:lang w:val="fr-BE"/>
        </w:rPr>
      </w:pPr>
      <w:r w:rsidRPr="00FB0D93">
        <w:rPr>
          <w:lang w:val="fr-BE"/>
        </w:rPr>
        <w:t xml:space="preserve">Pour plus d’informations concernant l’utilisation du système ou l’application des procédures en vigueur, l’INTERCOMMUNALE peut toujours contacter le Helpdesk </w:t>
      </w:r>
      <w:r w:rsidR="00656706" w:rsidRPr="00FB0D93">
        <w:rPr>
          <w:lang w:val="fr-BE"/>
        </w:rPr>
        <w:t xml:space="preserve">MyFost Operations </w:t>
      </w:r>
      <w:r w:rsidRPr="00FB0D93">
        <w:rPr>
          <w:lang w:val="fr-BE"/>
        </w:rPr>
        <w:t>de Fost Plus au 02/775.03.50.</w:t>
      </w:r>
    </w:p>
    <w:p w14:paraId="0769D3F9" w14:textId="77777777" w:rsidR="00BC309D" w:rsidRPr="00FB0D93" w:rsidRDefault="00BC309D" w:rsidP="00BC309D">
      <w:pPr>
        <w:rPr>
          <w:lang w:val="fr-BE"/>
        </w:rPr>
      </w:pPr>
    </w:p>
    <w:p w14:paraId="0769D3FA" w14:textId="0D68692D" w:rsidR="00BC309D" w:rsidRPr="00FB0D93" w:rsidRDefault="00BC309D" w:rsidP="00BC309D">
      <w:pPr>
        <w:pStyle w:val="Titre1"/>
        <w:tabs>
          <w:tab w:val="clear" w:pos="425"/>
          <w:tab w:val="num" w:pos="426"/>
        </w:tabs>
        <w:ind w:left="426" w:hanging="426"/>
        <w:contextualSpacing w:val="0"/>
        <w:rPr>
          <w:lang w:val="fr-BE"/>
        </w:rPr>
      </w:pPr>
      <w:r w:rsidRPr="00FB0D93">
        <w:rPr>
          <w:lang w:val="fr-BE"/>
        </w:rPr>
        <w:lastRenderedPageBreak/>
        <w:t xml:space="preserve"> </w:t>
      </w:r>
      <w:bookmarkStart w:id="16" w:name="_Toc20298009"/>
      <w:r w:rsidR="00E44A9C" w:rsidRPr="00FB0D93">
        <w:rPr>
          <w:lang w:val="fr-BE"/>
        </w:rPr>
        <w:t xml:space="preserve">Modèles de </w:t>
      </w:r>
      <w:r w:rsidRPr="00FB0D93">
        <w:rPr>
          <w:lang w:val="fr-BE"/>
        </w:rPr>
        <w:t>Cahiers des charges concernant les march</w:t>
      </w:r>
      <w:r w:rsidR="006932AF" w:rsidRPr="00FB0D93">
        <w:rPr>
          <w:lang w:val="fr-BE"/>
        </w:rPr>
        <w:t>é</w:t>
      </w:r>
      <w:r w:rsidRPr="00FB0D93">
        <w:rPr>
          <w:lang w:val="fr-BE"/>
        </w:rPr>
        <w:t xml:space="preserve">s </w:t>
      </w:r>
      <w:r w:rsidR="00F847E5" w:rsidRPr="00FB0D93">
        <w:rPr>
          <w:lang w:val="fr-BE"/>
        </w:rPr>
        <w:t xml:space="preserve">d’acquisition et </w:t>
      </w:r>
      <w:r w:rsidRPr="00FB0D93">
        <w:rPr>
          <w:lang w:val="fr-BE"/>
        </w:rPr>
        <w:t xml:space="preserve">de recyclage </w:t>
      </w:r>
      <w:r w:rsidRPr="00FB0D93">
        <w:rPr>
          <w:sz w:val="34"/>
          <w:szCs w:val="34"/>
          <w:bdr w:val="single" w:sz="4" w:space="0" w:color="000000"/>
          <w:lang w:val="fr-BE"/>
        </w:rPr>
        <w:t>B</w:t>
      </w:r>
      <w:bookmarkEnd w:id="16"/>
      <w:r w:rsidR="006E6E8D" w:rsidRPr="00FB0D93">
        <w:rPr>
          <w:b/>
          <w:sz w:val="20"/>
          <w:szCs w:val="20"/>
          <w:lang w:val="fr-BE"/>
        </w:rPr>
        <w:tab/>
      </w:r>
      <w:r w:rsidR="006E6E8D" w:rsidRPr="00FB0D93">
        <w:rPr>
          <w:b/>
          <w:sz w:val="20"/>
          <w:szCs w:val="20"/>
          <w:lang w:val="fr-BE"/>
        </w:rPr>
        <w:tab/>
      </w:r>
      <w:r w:rsidR="006E6E8D" w:rsidRPr="00FB0D93">
        <w:rPr>
          <w:b/>
          <w:sz w:val="20"/>
          <w:szCs w:val="20"/>
          <w:lang w:val="fr-BE"/>
        </w:rPr>
        <w:tab/>
      </w:r>
      <w:r w:rsidR="001E0B4B" w:rsidRPr="00FB0D93">
        <w:rPr>
          <w:b/>
          <w:sz w:val="20"/>
          <w:szCs w:val="20"/>
          <w:lang w:val="fr-BE"/>
        </w:rPr>
        <w:t xml:space="preserve"> </w:t>
      </w:r>
    </w:p>
    <w:p w14:paraId="0769D3FB" w14:textId="534D734A" w:rsidR="00BC309D" w:rsidRPr="00FB0D93" w:rsidRDefault="00BC309D" w:rsidP="006318F1">
      <w:pPr>
        <w:pStyle w:val="Titre2"/>
        <w:rPr>
          <w:lang w:val="fr-BE" w:eastAsia="nl-NL"/>
        </w:rPr>
      </w:pPr>
    </w:p>
    <w:p w14:paraId="0769D3FC" w14:textId="77777777" w:rsidR="00BC309D" w:rsidRPr="00FB0D93" w:rsidRDefault="00BC309D" w:rsidP="00BC309D">
      <w:pPr>
        <w:pStyle w:val="Listepuces"/>
        <w:rPr>
          <w:lang w:val="fr-BE" w:eastAsia="nl-NL"/>
        </w:rPr>
      </w:pPr>
      <w:r w:rsidRPr="00FB0D93">
        <w:rPr>
          <w:lang w:val="fr-BE" w:eastAsia="nl-NL"/>
        </w:rPr>
        <w:t>Acquisition et recyclage d’emballages en verre u</w:t>
      </w:r>
      <w:r w:rsidR="00B7071C" w:rsidRPr="00FB0D93">
        <w:rPr>
          <w:lang w:val="fr-BE" w:eastAsia="nl-NL"/>
        </w:rPr>
        <w:t>sagés</w:t>
      </w:r>
      <w:r w:rsidRPr="00FB0D93">
        <w:rPr>
          <w:lang w:val="fr-BE" w:eastAsia="nl-NL"/>
        </w:rPr>
        <w:t xml:space="preserve"> et sélectivement collectés</w:t>
      </w:r>
    </w:p>
    <w:p w14:paraId="0769D3FD" w14:textId="77777777" w:rsidR="00BC309D" w:rsidRPr="00FB0D93" w:rsidRDefault="00BC309D" w:rsidP="006318F1">
      <w:pPr>
        <w:pStyle w:val="Titre2"/>
        <w:rPr>
          <w:lang w:val="fr-BE" w:eastAsia="nl-NL"/>
        </w:rPr>
      </w:pPr>
    </w:p>
    <w:p w14:paraId="0769D3FE" w14:textId="77777777" w:rsidR="00BC309D" w:rsidRPr="00FB0D93" w:rsidRDefault="00BC309D" w:rsidP="00BC309D">
      <w:pPr>
        <w:pStyle w:val="Listepuces"/>
        <w:rPr>
          <w:lang w:val="fr-BE" w:eastAsia="nl-NL"/>
        </w:rPr>
      </w:pPr>
      <w:r w:rsidRPr="00FB0D93">
        <w:rPr>
          <w:lang w:val="fr-BE" w:eastAsia="nl-NL"/>
        </w:rPr>
        <w:t>Acquisition et recyclage de vieux papier-carton provenant de la collecte sélective</w:t>
      </w:r>
    </w:p>
    <w:p w14:paraId="0769D3FF" w14:textId="77777777" w:rsidR="00BC309D" w:rsidRPr="00FB0D93" w:rsidRDefault="00BC309D" w:rsidP="006318F1">
      <w:pPr>
        <w:pStyle w:val="Titre2"/>
        <w:rPr>
          <w:lang w:val="fr-BE" w:eastAsia="nl-NL"/>
        </w:rPr>
      </w:pPr>
    </w:p>
    <w:p w14:paraId="0769D400" w14:textId="715ED7F1" w:rsidR="00BC309D" w:rsidRPr="00FB0D93" w:rsidRDefault="00BC309D" w:rsidP="00BC309D">
      <w:pPr>
        <w:pStyle w:val="Listepuces"/>
        <w:rPr>
          <w:lang w:val="fr-BE" w:eastAsia="nl-NL"/>
        </w:rPr>
      </w:pPr>
      <w:r w:rsidRPr="00FB0D93">
        <w:rPr>
          <w:lang w:val="fr-BE" w:eastAsia="nl-NL"/>
        </w:rPr>
        <w:t>Acquisition et recyclage d</w:t>
      </w:r>
      <w:r w:rsidR="00656706" w:rsidRPr="00FB0D93">
        <w:rPr>
          <w:lang w:val="fr-BE" w:eastAsia="nl-NL"/>
        </w:rPr>
        <w:t xml:space="preserve">’emballages </w:t>
      </w:r>
      <w:r w:rsidRPr="00FB0D93">
        <w:rPr>
          <w:lang w:val="fr-BE" w:eastAsia="nl-NL"/>
        </w:rPr>
        <w:t xml:space="preserve">en plastique </w:t>
      </w:r>
      <w:r w:rsidR="00B7071C" w:rsidRPr="00FB0D93">
        <w:rPr>
          <w:lang w:val="fr-BE" w:eastAsia="nl-NL"/>
        </w:rPr>
        <w:t>usagés</w:t>
      </w:r>
      <w:r w:rsidRPr="00FB0D93">
        <w:rPr>
          <w:lang w:val="fr-BE" w:eastAsia="nl-NL"/>
        </w:rPr>
        <w:t xml:space="preserve"> et sélectivement collectés</w:t>
      </w:r>
      <w:r w:rsidR="00656706" w:rsidRPr="00FB0D93">
        <w:rPr>
          <w:lang w:val="fr-BE" w:eastAsia="nl-NL"/>
        </w:rPr>
        <w:t xml:space="preserve">, en ce compris </w:t>
      </w:r>
      <w:r w:rsidR="00EA189C" w:rsidRPr="00FB0D93">
        <w:rPr>
          <w:lang w:val="fr-BE" w:eastAsia="nl-NL"/>
        </w:rPr>
        <w:t>les sacs PE utilisés</w:t>
      </w:r>
    </w:p>
    <w:p w14:paraId="0769D401" w14:textId="77777777" w:rsidR="00BC309D" w:rsidRPr="00FB0D93" w:rsidRDefault="00BC309D" w:rsidP="006318F1">
      <w:pPr>
        <w:pStyle w:val="Titre2"/>
        <w:rPr>
          <w:lang w:val="fr-BE" w:eastAsia="nl-NL"/>
        </w:rPr>
      </w:pPr>
    </w:p>
    <w:p w14:paraId="0769D402" w14:textId="77777777" w:rsidR="00BC309D" w:rsidRPr="00FB0D93" w:rsidRDefault="00BC309D" w:rsidP="00BC309D">
      <w:pPr>
        <w:pStyle w:val="Listepuces"/>
        <w:rPr>
          <w:lang w:val="fr-BE" w:eastAsia="nl-NL"/>
        </w:rPr>
      </w:pPr>
      <w:r w:rsidRPr="00FB0D93">
        <w:rPr>
          <w:lang w:val="fr-BE" w:eastAsia="nl-NL"/>
        </w:rPr>
        <w:t xml:space="preserve">Acquisition et recyclage d’emballages métalliques </w:t>
      </w:r>
      <w:r w:rsidR="00B7071C" w:rsidRPr="00FB0D93">
        <w:rPr>
          <w:lang w:val="fr-BE" w:eastAsia="nl-NL"/>
        </w:rPr>
        <w:t>usagés</w:t>
      </w:r>
      <w:r w:rsidRPr="00FB0D93">
        <w:rPr>
          <w:lang w:val="fr-BE" w:eastAsia="nl-NL"/>
        </w:rPr>
        <w:t>, sélectivement collectés et triés</w:t>
      </w:r>
    </w:p>
    <w:p w14:paraId="0769D403" w14:textId="77777777" w:rsidR="00BC309D" w:rsidRPr="00FB0D93" w:rsidRDefault="00BC309D" w:rsidP="006318F1">
      <w:pPr>
        <w:pStyle w:val="Titre2"/>
        <w:rPr>
          <w:lang w:val="fr-BE" w:eastAsia="nl-NL"/>
        </w:rPr>
      </w:pPr>
    </w:p>
    <w:p w14:paraId="31FAD7A7" w14:textId="53B676B6" w:rsidR="00AE0A3E" w:rsidRPr="00FB0D93" w:rsidRDefault="00AE0A3E" w:rsidP="00AE0A3E">
      <w:pPr>
        <w:pStyle w:val="Listepuces"/>
        <w:rPr>
          <w:lang w:val="fr-BE" w:eastAsia="nl-NL"/>
        </w:rPr>
      </w:pPr>
      <w:r w:rsidRPr="00FB0D93">
        <w:rPr>
          <w:lang w:val="fr-BE" w:eastAsia="nl-NL"/>
        </w:rPr>
        <w:t>Acquisition et recyclage de cartons à boissons usagés, sélectivement collectés et triés</w:t>
      </w:r>
    </w:p>
    <w:p w14:paraId="0769D405" w14:textId="77777777" w:rsidR="00BC309D" w:rsidRPr="00FB0D93" w:rsidRDefault="00BC309D" w:rsidP="00BC309D">
      <w:pPr>
        <w:autoSpaceDE w:val="0"/>
        <w:autoSpaceDN w:val="0"/>
        <w:spacing w:after="0" w:line="240" w:lineRule="auto"/>
        <w:rPr>
          <w:rFonts w:eastAsia="Times New Roman" w:cs="Verdana"/>
          <w:szCs w:val="18"/>
          <w:lang w:val="fr-BE" w:eastAsia="nl-NL"/>
        </w:rPr>
      </w:pPr>
    </w:p>
    <w:p w14:paraId="0769D406" w14:textId="3CA159D5" w:rsidR="00BC309D" w:rsidRPr="00FB0D93" w:rsidRDefault="00BC309D" w:rsidP="00BC309D">
      <w:pPr>
        <w:pStyle w:val="Titre1"/>
        <w:tabs>
          <w:tab w:val="clear" w:pos="425"/>
          <w:tab w:val="num" w:pos="426"/>
        </w:tabs>
        <w:ind w:left="426" w:hanging="426"/>
        <w:contextualSpacing w:val="0"/>
        <w:rPr>
          <w:lang w:val="fr-BE"/>
        </w:rPr>
      </w:pPr>
      <w:r w:rsidRPr="00FB0D93">
        <w:rPr>
          <w:lang w:val="fr-BE"/>
        </w:rPr>
        <w:lastRenderedPageBreak/>
        <w:t xml:space="preserve"> </w:t>
      </w:r>
      <w:bookmarkStart w:id="17" w:name="_Toc20298010"/>
      <w:r w:rsidRPr="00FB0D93">
        <w:rPr>
          <w:lang w:val="fr-BE"/>
        </w:rPr>
        <w:t xml:space="preserve">Attestation de recyclage </w:t>
      </w:r>
      <w:r w:rsidRPr="00FB0D93">
        <w:rPr>
          <w:sz w:val="34"/>
          <w:szCs w:val="34"/>
          <w:bdr w:val="single" w:sz="4" w:space="0" w:color="000000"/>
          <w:lang w:val="fr-BE"/>
        </w:rPr>
        <w:t>B</w:t>
      </w:r>
      <w:bookmarkEnd w:id="17"/>
      <w:r w:rsidR="006E6E8D" w:rsidRPr="00FB0D93">
        <w:rPr>
          <w:b/>
          <w:sz w:val="20"/>
          <w:szCs w:val="20"/>
          <w:lang w:val="fr-BE"/>
        </w:rPr>
        <w:tab/>
      </w:r>
      <w:r w:rsidR="006E6E8D" w:rsidRPr="00FB0D93">
        <w:rPr>
          <w:b/>
          <w:sz w:val="20"/>
          <w:szCs w:val="20"/>
          <w:lang w:val="fr-BE"/>
        </w:rPr>
        <w:tab/>
      </w:r>
      <w:r w:rsidR="006E6E8D" w:rsidRPr="00FB0D93">
        <w:rPr>
          <w:b/>
          <w:sz w:val="20"/>
          <w:szCs w:val="20"/>
          <w:lang w:val="fr-BE"/>
        </w:rPr>
        <w:tab/>
      </w:r>
      <w:r w:rsidR="006E6E8D" w:rsidRPr="00FB0D93">
        <w:rPr>
          <w:b/>
          <w:sz w:val="20"/>
          <w:szCs w:val="20"/>
          <w:lang w:val="fr-BE"/>
        </w:rPr>
        <w:tab/>
      </w:r>
    </w:p>
    <w:p w14:paraId="0769D407" w14:textId="77777777" w:rsidR="00BC309D" w:rsidRPr="00FB0D93" w:rsidRDefault="00BC309D" w:rsidP="00BC309D">
      <w:pPr>
        <w:rPr>
          <w:lang w:val="fr-BE"/>
        </w:rPr>
      </w:pPr>
    </w:p>
    <w:p w14:paraId="0769D408" w14:textId="77777777" w:rsidR="00BC309D" w:rsidRPr="00FB0D93" w:rsidRDefault="00BC309D" w:rsidP="00BC309D">
      <w:pPr>
        <w:rPr>
          <w:lang w:val="fr-BE"/>
        </w:rPr>
      </w:pPr>
      <w:r w:rsidRPr="00FB0D93">
        <w:rPr>
          <w:lang w:val="fr-BE"/>
        </w:rPr>
        <w:t>ATTESTATION RELATIVE A LA LIVRAISON DE MATERIAUX DESTINES AU RECYCLAGE</w:t>
      </w:r>
    </w:p>
    <w:p w14:paraId="0769D409" w14:textId="77777777" w:rsidR="00BC309D" w:rsidRPr="00FB0D93" w:rsidRDefault="00BC309D" w:rsidP="00BC309D">
      <w:pPr>
        <w:rPr>
          <w:lang w:val="fr-BE"/>
        </w:rPr>
      </w:pPr>
      <w:r w:rsidRPr="00FB0D93">
        <w:rPr>
          <w:lang w:val="fr-BE"/>
        </w:rPr>
        <w:t>Je soussigné (l’acquéreur), ……………………………………………………….. [</w:t>
      </w:r>
      <w:r w:rsidR="002A107E" w:rsidRPr="00FB0D93">
        <w:rPr>
          <w:lang w:val="fr-BE"/>
        </w:rPr>
        <w:t>entreprise, nom et fonction</w:t>
      </w:r>
      <w:r w:rsidRPr="00FB0D93">
        <w:rPr>
          <w:lang w:val="fr-BE"/>
        </w:rPr>
        <w:t>], déclare par la présente les données suivantes sincères et véritables :</w:t>
      </w:r>
    </w:p>
    <w:p w14:paraId="0769D40A" w14:textId="77777777" w:rsidR="00BC309D" w:rsidRPr="00FB0D93" w:rsidRDefault="00BC309D" w:rsidP="00935358">
      <w:pPr>
        <w:pStyle w:val="Titre2"/>
        <w:tabs>
          <w:tab w:val="clear" w:pos="851"/>
          <w:tab w:val="num" w:pos="0"/>
        </w:tabs>
        <w:ind w:left="0" w:firstLine="0"/>
        <w:rPr>
          <w:lang w:val="fr-BE"/>
        </w:rPr>
      </w:pPr>
      <w:r w:rsidRPr="00FB0D93">
        <w:rPr>
          <w:lang w:val="fr-BE"/>
        </w:rPr>
        <w:t>Objet :</w:t>
      </w:r>
    </w:p>
    <w:p w14:paraId="0769D40B" w14:textId="77777777" w:rsidR="00BC309D" w:rsidRPr="00FB0D93" w:rsidRDefault="00BC309D" w:rsidP="00BC309D">
      <w:pPr>
        <w:rPr>
          <w:lang w:val="fr-BE"/>
        </w:rPr>
      </w:pPr>
      <w:r w:rsidRPr="00FB0D93">
        <w:rPr>
          <w:lang w:val="fr-BE"/>
        </w:rPr>
        <w:t>Le traitement régulier (recyclage) de</w:t>
      </w:r>
      <w:r w:rsidR="00805ABA" w:rsidRPr="00FB0D93">
        <w:rPr>
          <w:lang w:val="fr-BE"/>
        </w:rPr>
        <w:t xml:space="preserve"> </w:t>
      </w:r>
      <w:r w:rsidRPr="00FB0D93">
        <w:rPr>
          <w:lang w:val="fr-BE"/>
        </w:rPr>
        <w:t xml:space="preserve"> </w:t>
      </w:r>
      <w:r w:rsidR="00805ABA" w:rsidRPr="00FB0D93">
        <w:rPr>
          <w:lang w:val="fr-BE"/>
        </w:rPr>
        <w:t>&lt;</w:t>
      </w:r>
      <w:r w:rsidR="006A11C0" w:rsidRPr="00FB0D93">
        <w:rPr>
          <w:bCs w:val="0"/>
          <w:lang w:val="fr-BE"/>
        </w:rPr>
        <w:t>compléter</w:t>
      </w:r>
      <w:r w:rsidR="00006E5E" w:rsidRPr="00FB0D93">
        <w:rPr>
          <w:bCs w:val="0"/>
          <w:lang w:val="fr-BE"/>
        </w:rPr>
        <w:t xml:space="preserve"> le </w:t>
      </w:r>
      <w:r w:rsidRPr="00FB0D93">
        <w:rPr>
          <w:bCs w:val="0"/>
          <w:lang w:val="fr-BE"/>
        </w:rPr>
        <w:t>matériau</w:t>
      </w:r>
      <w:r w:rsidR="00805ABA" w:rsidRPr="00FB0D93">
        <w:rPr>
          <w:bCs w:val="0"/>
          <w:lang w:val="fr-BE"/>
        </w:rPr>
        <w:t>&gt;</w:t>
      </w:r>
      <w:r w:rsidRPr="00FB0D93">
        <w:rPr>
          <w:lang w:val="fr-BE"/>
        </w:rPr>
        <w:t xml:space="preserve"> pour le compte de l’intercommunale </w:t>
      </w:r>
      <w:r w:rsidR="00805ABA" w:rsidRPr="00FB0D93">
        <w:rPr>
          <w:lang w:val="fr-BE"/>
        </w:rPr>
        <w:t>&lt;</w:t>
      </w:r>
      <w:r w:rsidR="00006E5E" w:rsidRPr="00FB0D93">
        <w:rPr>
          <w:bCs w:val="0"/>
          <w:lang w:val="fr-BE"/>
        </w:rPr>
        <w:t>compléter le nom</w:t>
      </w:r>
      <w:r w:rsidR="00805ABA" w:rsidRPr="00FB0D93">
        <w:rPr>
          <w:bCs w:val="0"/>
          <w:lang w:val="fr-BE"/>
        </w:rPr>
        <w:t>&gt;</w:t>
      </w:r>
      <w:r w:rsidRPr="00FB0D93">
        <w:rPr>
          <w:lang w:val="fr-BE"/>
        </w:rPr>
        <w:t xml:space="preserve"> et collecté sur le territoire de cette intercommunale.</w:t>
      </w:r>
    </w:p>
    <w:p w14:paraId="0769D40C" w14:textId="35FD9F32" w:rsidR="00BC309D" w:rsidRPr="00FB0D93" w:rsidRDefault="00BC309D" w:rsidP="00935358">
      <w:pPr>
        <w:pStyle w:val="Titre2"/>
        <w:tabs>
          <w:tab w:val="clear" w:pos="851"/>
          <w:tab w:val="num" w:pos="0"/>
        </w:tabs>
        <w:ind w:left="0" w:firstLine="0"/>
        <w:rPr>
          <w:lang w:val="fr-BE"/>
        </w:rPr>
      </w:pPr>
      <w:r w:rsidRPr="00FB0D93">
        <w:rPr>
          <w:lang w:val="fr-BE"/>
        </w:rPr>
        <w:t xml:space="preserve">Identification du collecteur/centre de tri et de </w:t>
      </w:r>
      <w:r w:rsidR="00905FA2" w:rsidRPr="00FB0D93">
        <w:rPr>
          <w:lang w:val="fr-BE"/>
        </w:rPr>
        <w:t>l’acquéreur :</w:t>
      </w:r>
      <w:r w:rsidRPr="00FB0D93">
        <w:rPr>
          <w:lang w:val="fr-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FB0D93" w:rsidRPr="00FB0D93" w14:paraId="0769D40F" w14:textId="77777777" w:rsidTr="006318F1">
        <w:tc>
          <w:tcPr>
            <w:tcW w:w="4605" w:type="dxa"/>
          </w:tcPr>
          <w:p w14:paraId="0769D40D" w14:textId="77777777" w:rsidR="00BC309D" w:rsidRPr="00FB0D93" w:rsidRDefault="00BC309D" w:rsidP="006318F1">
            <w:pPr>
              <w:rPr>
                <w:lang w:val="fr-BE"/>
              </w:rPr>
            </w:pPr>
          </w:p>
        </w:tc>
        <w:tc>
          <w:tcPr>
            <w:tcW w:w="4605" w:type="dxa"/>
          </w:tcPr>
          <w:p w14:paraId="0769D40E" w14:textId="77777777" w:rsidR="00BC309D" w:rsidRPr="00FB0D93" w:rsidRDefault="00BC309D" w:rsidP="006318F1">
            <w:pPr>
              <w:rPr>
                <w:lang w:val="fr-BE"/>
              </w:rPr>
            </w:pPr>
            <w:r w:rsidRPr="00FB0D93">
              <w:rPr>
                <w:lang w:val="fr-BE"/>
              </w:rPr>
              <w:t>Nom et adresse</w:t>
            </w:r>
          </w:p>
        </w:tc>
      </w:tr>
      <w:tr w:rsidR="00FB0D93" w:rsidRPr="00FB0D93" w14:paraId="0769D412" w14:textId="77777777" w:rsidTr="006318F1">
        <w:trPr>
          <w:trHeight w:val="904"/>
        </w:trPr>
        <w:tc>
          <w:tcPr>
            <w:tcW w:w="4605" w:type="dxa"/>
          </w:tcPr>
          <w:p w14:paraId="0769D410" w14:textId="77777777" w:rsidR="00BC309D" w:rsidRPr="00FB0D93" w:rsidRDefault="00BC309D" w:rsidP="006318F1">
            <w:pPr>
              <w:rPr>
                <w:lang w:val="fr-BE"/>
              </w:rPr>
            </w:pPr>
            <w:r w:rsidRPr="00FB0D93">
              <w:rPr>
                <w:lang w:val="fr-BE"/>
              </w:rPr>
              <w:t>Collecteur / Centre de tri</w:t>
            </w:r>
          </w:p>
        </w:tc>
        <w:tc>
          <w:tcPr>
            <w:tcW w:w="4605" w:type="dxa"/>
          </w:tcPr>
          <w:p w14:paraId="0769D411" w14:textId="77777777" w:rsidR="00BC309D" w:rsidRPr="00FB0D93" w:rsidRDefault="00BC309D" w:rsidP="006318F1">
            <w:pPr>
              <w:rPr>
                <w:lang w:val="fr-BE"/>
              </w:rPr>
            </w:pPr>
          </w:p>
        </w:tc>
      </w:tr>
      <w:tr w:rsidR="00FB0D93" w:rsidRPr="00FB0D93" w14:paraId="0769D415" w14:textId="77777777" w:rsidTr="006318F1">
        <w:trPr>
          <w:trHeight w:val="1073"/>
        </w:trPr>
        <w:tc>
          <w:tcPr>
            <w:tcW w:w="4605" w:type="dxa"/>
          </w:tcPr>
          <w:p w14:paraId="0769D413" w14:textId="77777777" w:rsidR="00BC309D" w:rsidRPr="00FB0D93" w:rsidRDefault="00BC309D" w:rsidP="006318F1">
            <w:pPr>
              <w:rPr>
                <w:lang w:val="fr-BE"/>
              </w:rPr>
            </w:pPr>
            <w:r w:rsidRPr="00FB0D93">
              <w:rPr>
                <w:lang w:val="fr-BE"/>
              </w:rPr>
              <w:t xml:space="preserve">Acquéreur </w:t>
            </w:r>
          </w:p>
        </w:tc>
        <w:tc>
          <w:tcPr>
            <w:tcW w:w="4605" w:type="dxa"/>
          </w:tcPr>
          <w:p w14:paraId="0769D414" w14:textId="77777777" w:rsidR="00BC309D" w:rsidRPr="00FB0D93" w:rsidRDefault="00BC309D" w:rsidP="006318F1">
            <w:pPr>
              <w:rPr>
                <w:lang w:val="fr-BE"/>
              </w:rPr>
            </w:pPr>
          </w:p>
        </w:tc>
      </w:tr>
      <w:tr w:rsidR="00FB0D93" w:rsidRPr="0086132C" w14:paraId="0769D419" w14:textId="77777777" w:rsidTr="006318F1">
        <w:trPr>
          <w:trHeight w:val="1062"/>
        </w:trPr>
        <w:tc>
          <w:tcPr>
            <w:tcW w:w="4605" w:type="dxa"/>
          </w:tcPr>
          <w:p w14:paraId="0769D416" w14:textId="77777777" w:rsidR="00BC309D" w:rsidRPr="00FB0D93" w:rsidRDefault="00BC309D" w:rsidP="006318F1">
            <w:pPr>
              <w:rPr>
                <w:lang w:val="fr-BE"/>
              </w:rPr>
            </w:pPr>
            <w:r w:rsidRPr="00FB0D93">
              <w:rPr>
                <w:lang w:val="fr-BE"/>
              </w:rPr>
              <w:t>Recycleur final</w:t>
            </w:r>
          </w:p>
          <w:p w14:paraId="0769D417" w14:textId="77777777" w:rsidR="00BC309D" w:rsidRPr="00FB0D93" w:rsidRDefault="00BC309D" w:rsidP="006318F1">
            <w:pPr>
              <w:rPr>
                <w:lang w:val="fr-BE"/>
              </w:rPr>
            </w:pPr>
            <w:r w:rsidRPr="00FB0D93">
              <w:rPr>
                <w:lang w:val="fr-BE"/>
              </w:rPr>
              <w:t>(uniquement si l’acquéreur n’assure pas lui-même le recyclage effectif)</w:t>
            </w:r>
          </w:p>
        </w:tc>
        <w:tc>
          <w:tcPr>
            <w:tcW w:w="4605" w:type="dxa"/>
          </w:tcPr>
          <w:p w14:paraId="0769D418" w14:textId="77777777" w:rsidR="00BC309D" w:rsidRPr="00FB0D93" w:rsidRDefault="00BC309D" w:rsidP="006318F1">
            <w:pPr>
              <w:rPr>
                <w:lang w:val="fr-BE"/>
              </w:rPr>
            </w:pPr>
          </w:p>
        </w:tc>
      </w:tr>
    </w:tbl>
    <w:p w14:paraId="0769D41A" w14:textId="77777777" w:rsidR="00BC309D" w:rsidRPr="00FB0D93" w:rsidRDefault="00BC309D" w:rsidP="006318F1">
      <w:pPr>
        <w:pStyle w:val="Titre2"/>
        <w:rPr>
          <w:lang w:val="fr-BE"/>
        </w:rPr>
      </w:pPr>
      <w:r w:rsidRPr="00FB0D93">
        <w:rPr>
          <w:lang w:val="fr-BE"/>
        </w:rPr>
        <w:t xml:space="preserve">Période à laquelle cette attestation se rapporte : </w:t>
      </w:r>
    </w:p>
    <w:p w14:paraId="0769D41B" w14:textId="77777777" w:rsidR="00BC309D" w:rsidRPr="00FB0D93" w:rsidRDefault="00BC309D" w:rsidP="00BC309D">
      <w:pPr>
        <w:rPr>
          <w:lang w:val="fr-BE"/>
        </w:rPr>
      </w:pPr>
      <w:r w:rsidRPr="00FB0D93">
        <w:rPr>
          <w:lang w:val="fr-BE"/>
        </w:rPr>
        <w:t>du ……../……../…….. au ……../……../……..</w:t>
      </w:r>
    </w:p>
    <w:p w14:paraId="0769D41C" w14:textId="77777777" w:rsidR="00BC309D" w:rsidRPr="00FB0D93" w:rsidRDefault="00BC309D" w:rsidP="006318F1">
      <w:pPr>
        <w:pStyle w:val="Titre2"/>
        <w:rPr>
          <w:lang w:val="fr-BE"/>
        </w:rPr>
      </w:pPr>
      <w:r w:rsidRPr="00FB0D93">
        <w:rPr>
          <w:lang w:val="fr-BE"/>
        </w:rPr>
        <w:t>Quantité fournie durant cette période :</w:t>
      </w:r>
    </w:p>
    <w:p w14:paraId="0769D41D" w14:textId="77777777" w:rsidR="00BC309D" w:rsidRPr="00FB0D93" w:rsidRDefault="006932AF" w:rsidP="00BC309D">
      <w:pPr>
        <w:rPr>
          <w:lang w:val="fr-BE"/>
        </w:rPr>
      </w:pPr>
      <w:r w:rsidRPr="00FB0D93">
        <w:rPr>
          <w:rFonts w:eastAsia="Times New Roman"/>
          <w:bCs w:val="0"/>
          <w:sz w:val="24"/>
          <w:szCs w:val="26"/>
          <w:lang w:val="fr-BE"/>
        </w:rPr>
        <w:t>&lt;</w:t>
      </w:r>
      <w:r w:rsidR="00BC309D" w:rsidRPr="00FB0D93">
        <w:rPr>
          <w:bCs w:val="0"/>
          <w:lang w:val="fr-BE"/>
        </w:rPr>
        <w:t>………………………………</w:t>
      </w:r>
      <w:r w:rsidRPr="00FB0D93">
        <w:rPr>
          <w:rFonts w:eastAsia="Times New Roman"/>
          <w:bCs w:val="0"/>
          <w:sz w:val="24"/>
          <w:szCs w:val="26"/>
          <w:lang w:val="fr-BE"/>
        </w:rPr>
        <w:t>&gt;</w:t>
      </w:r>
      <w:r w:rsidR="00BC309D" w:rsidRPr="00FB0D93">
        <w:rPr>
          <w:lang w:val="fr-BE"/>
        </w:rPr>
        <w:t xml:space="preserve"> kg.</w:t>
      </w:r>
    </w:p>
    <w:p w14:paraId="0769D41E" w14:textId="77777777" w:rsidR="00BC309D" w:rsidRPr="00FB0D93" w:rsidRDefault="00BC309D" w:rsidP="00BC309D">
      <w:pPr>
        <w:rPr>
          <w:lang w:val="fr-BE"/>
        </w:rPr>
      </w:pPr>
      <w:r w:rsidRPr="00FB0D93">
        <w:rPr>
          <w:lang w:val="fr-BE"/>
        </w:rPr>
        <w:t>En annexe figure un aperçu détaillé de toutes les livraisons (date et quantité).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8"/>
      </w:tblGrid>
      <w:tr w:rsidR="00FB0D93" w:rsidRPr="0086132C" w14:paraId="0769D427" w14:textId="77777777" w:rsidTr="006318F1">
        <w:trPr>
          <w:trHeight w:val="1418"/>
        </w:trPr>
        <w:tc>
          <w:tcPr>
            <w:tcW w:w="4605" w:type="dxa"/>
          </w:tcPr>
          <w:p w14:paraId="0769D41F" w14:textId="77777777" w:rsidR="00BC309D" w:rsidRPr="00FB0D93" w:rsidRDefault="00BC309D" w:rsidP="006318F1">
            <w:pPr>
              <w:rPr>
                <w:lang w:val="fr-BE"/>
              </w:rPr>
            </w:pPr>
            <w:r w:rsidRPr="00FB0D93">
              <w:rPr>
                <w:lang w:val="fr-BE"/>
              </w:rPr>
              <w:t>Pour accord</w:t>
            </w:r>
          </w:p>
          <w:p w14:paraId="0769D420" w14:textId="77777777" w:rsidR="00BC309D" w:rsidRPr="00FB0D93" w:rsidRDefault="00BC309D" w:rsidP="006318F1">
            <w:pPr>
              <w:rPr>
                <w:lang w:val="fr-BE"/>
              </w:rPr>
            </w:pPr>
          </w:p>
          <w:p w14:paraId="0769D421" w14:textId="77777777" w:rsidR="00BC309D" w:rsidRPr="00FB0D93" w:rsidRDefault="00BC309D" w:rsidP="006318F1">
            <w:pPr>
              <w:rPr>
                <w:lang w:val="fr-BE"/>
              </w:rPr>
            </w:pPr>
          </w:p>
          <w:p w14:paraId="0769D422" w14:textId="77777777" w:rsidR="00BC309D" w:rsidRPr="00FB0D93" w:rsidRDefault="00BC309D" w:rsidP="006318F1">
            <w:pPr>
              <w:rPr>
                <w:lang w:val="fr-BE"/>
              </w:rPr>
            </w:pPr>
            <w:r w:rsidRPr="00FB0D93">
              <w:rPr>
                <w:lang w:val="fr-BE"/>
              </w:rPr>
              <w:t>Cachet + signature de l’acquéreur</w:t>
            </w:r>
          </w:p>
        </w:tc>
        <w:tc>
          <w:tcPr>
            <w:tcW w:w="4605" w:type="dxa"/>
          </w:tcPr>
          <w:p w14:paraId="0769D423" w14:textId="77777777" w:rsidR="00BC309D" w:rsidRPr="00FB0D93" w:rsidRDefault="00BC309D" w:rsidP="006318F1">
            <w:pPr>
              <w:rPr>
                <w:lang w:val="fr-BE"/>
              </w:rPr>
            </w:pPr>
            <w:r w:rsidRPr="00FB0D93">
              <w:rPr>
                <w:lang w:val="fr-BE"/>
              </w:rPr>
              <w:t>Pour accord</w:t>
            </w:r>
          </w:p>
          <w:p w14:paraId="0769D424" w14:textId="77777777" w:rsidR="00BC309D" w:rsidRPr="00FB0D93" w:rsidRDefault="00BC309D" w:rsidP="006318F1">
            <w:pPr>
              <w:rPr>
                <w:lang w:val="fr-BE"/>
              </w:rPr>
            </w:pPr>
          </w:p>
          <w:p w14:paraId="0769D425" w14:textId="77777777" w:rsidR="00BC309D" w:rsidRPr="00FB0D93" w:rsidRDefault="00BC309D" w:rsidP="006318F1">
            <w:pPr>
              <w:rPr>
                <w:lang w:val="fr-BE"/>
              </w:rPr>
            </w:pPr>
          </w:p>
          <w:p w14:paraId="0769D426" w14:textId="77777777" w:rsidR="00BC309D" w:rsidRPr="00FB0D93" w:rsidRDefault="00BC309D" w:rsidP="006318F1">
            <w:pPr>
              <w:rPr>
                <w:lang w:val="fr-BE"/>
              </w:rPr>
            </w:pPr>
            <w:r w:rsidRPr="00FB0D93">
              <w:rPr>
                <w:lang w:val="fr-BE"/>
              </w:rPr>
              <w:t>Cachet + signature du recycleur final</w:t>
            </w:r>
          </w:p>
        </w:tc>
      </w:tr>
      <w:tr w:rsidR="00BC309D" w:rsidRPr="00FB0D93" w14:paraId="0769D42A" w14:textId="77777777" w:rsidTr="006318F1">
        <w:tc>
          <w:tcPr>
            <w:tcW w:w="4605" w:type="dxa"/>
          </w:tcPr>
          <w:p w14:paraId="0769D428" w14:textId="77777777" w:rsidR="00BC309D" w:rsidRPr="00FB0D93" w:rsidRDefault="00BC309D" w:rsidP="006318F1">
            <w:pPr>
              <w:rPr>
                <w:lang w:val="fr-BE"/>
              </w:rPr>
            </w:pPr>
            <w:r w:rsidRPr="00FB0D93">
              <w:rPr>
                <w:lang w:val="fr-BE"/>
              </w:rPr>
              <w:t>Date :</w:t>
            </w:r>
          </w:p>
        </w:tc>
        <w:tc>
          <w:tcPr>
            <w:tcW w:w="4605" w:type="dxa"/>
          </w:tcPr>
          <w:p w14:paraId="0769D429" w14:textId="77777777" w:rsidR="00BC309D" w:rsidRPr="00FB0D93" w:rsidRDefault="00BC309D" w:rsidP="006318F1">
            <w:pPr>
              <w:rPr>
                <w:lang w:val="fr-BE"/>
              </w:rPr>
            </w:pPr>
            <w:r w:rsidRPr="00FB0D93">
              <w:rPr>
                <w:lang w:val="fr-BE"/>
              </w:rPr>
              <w:t>Date :</w:t>
            </w:r>
          </w:p>
        </w:tc>
      </w:tr>
    </w:tbl>
    <w:p w14:paraId="0769D42B" w14:textId="77777777" w:rsidR="00BC309D" w:rsidRPr="00FB0D93" w:rsidRDefault="00BC309D" w:rsidP="00BC309D">
      <w:pPr>
        <w:rPr>
          <w:lang w:val="fr-BE"/>
        </w:rPr>
      </w:pPr>
    </w:p>
    <w:p w14:paraId="0769D42C" w14:textId="77777777" w:rsidR="00BC309D" w:rsidRPr="00FB0D93" w:rsidRDefault="00BC309D" w:rsidP="00BC309D">
      <w:pPr>
        <w:rPr>
          <w:lang w:val="fr-BE"/>
        </w:rPr>
      </w:pPr>
      <w:r w:rsidRPr="00FB0D93">
        <w:rPr>
          <w:lang w:val="fr-BE"/>
        </w:rPr>
        <w:t>La signature de la présente attestation implique que l’acquéreur (et son éventuel partenaire) certifie que les matériaux ont effectivement été recyclés</w:t>
      </w:r>
    </w:p>
    <w:p w14:paraId="0769D42D" w14:textId="71C6E84B" w:rsidR="00775996" w:rsidRPr="00FB0D93" w:rsidRDefault="00775996">
      <w:pPr>
        <w:rPr>
          <w:lang w:val="fr-BE"/>
        </w:rPr>
      </w:pPr>
    </w:p>
    <w:p w14:paraId="65E8E101" w14:textId="5F407B07" w:rsidR="00EA189C" w:rsidRPr="00FB0D93" w:rsidRDefault="00EA189C" w:rsidP="00EA189C">
      <w:pPr>
        <w:pStyle w:val="Titre1"/>
        <w:widowControl/>
        <w:tabs>
          <w:tab w:val="clear" w:pos="425"/>
          <w:tab w:val="num" w:pos="681"/>
        </w:tabs>
        <w:adjustRightInd/>
        <w:ind w:left="681"/>
        <w:contextualSpacing w:val="0"/>
        <w:jc w:val="left"/>
        <w:textAlignment w:val="auto"/>
        <w:rPr>
          <w:lang w:val="fr-BE"/>
        </w:rPr>
      </w:pPr>
      <w:bookmarkStart w:id="18" w:name="_Toc20298011"/>
      <w:r w:rsidRPr="00FB0D93">
        <w:rPr>
          <w:rFonts w:cs="Arial"/>
          <w:szCs w:val="32"/>
          <w:lang w:val="fr-BE"/>
        </w:rPr>
        <w:lastRenderedPageBreak/>
        <w:t>Décla</w:t>
      </w:r>
      <w:r w:rsidR="00D03D31" w:rsidRPr="00FB0D93">
        <w:rPr>
          <w:rFonts w:cs="Arial"/>
          <w:szCs w:val="32"/>
          <w:lang w:val="fr-BE"/>
        </w:rPr>
        <w:t>ration de prise de connaissance</w:t>
      </w:r>
      <w:r w:rsidRPr="00FB0D93">
        <w:rPr>
          <w:rFonts w:cs="Arial"/>
          <w:szCs w:val="32"/>
          <w:lang w:val="fr-BE"/>
        </w:rPr>
        <w:t xml:space="preserve"> des annexes en ligne</w:t>
      </w:r>
      <w:bookmarkEnd w:id="18"/>
    </w:p>
    <w:p w14:paraId="320CD9C0" w14:textId="77777777" w:rsidR="00EA189C" w:rsidRPr="00FB0D93" w:rsidRDefault="00EA189C" w:rsidP="00EA189C">
      <w:pPr>
        <w:rPr>
          <w:lang w:val="fr-BE"/>
        </w:rPr>
      </w:pPr>
    </w:p>
    <w:p w14:paraId="320A744A" w14:textId="2D0A0A09" w:rsidR="00EA189C" w:rsidRPr="00FB0D93" w:rsidRDefault="00EA189C" w:rsidP="00EA189C">
      <w:pPr>
        <w:rPr>
          <w:lang w:val="fr-BE"/>
        </w:rPr>
      </w:pPr>
      <w:r w:rsidRPr="00FB0D93">
        <w:rPr>
          <w:lang w:val="fr-BE"/>
        </w:rPr>
        <w:t xml:space="preserve">Je soussigné (personne morale de droit public), ……………………………………………………….. [nom et fonction], déclare par la présente avoir pris connaissance du fait que la version la plus actuelle des annexes suivantes liées </w:t>
      </w:r>
      <w:r w:rsidR="009170C7" w:rsidRPr="00FB0D93">
        <w:rPr>
          <w:lang w:val="fr-BE"/>
        </w:rPr>
        <w:t>à la présente convention</w:t>
      </w:r>
      <w:r w:rsidRPr="00FB0D93">
        <w:rPr>
          <w:lang w:val="fr-BE"/>
        </w:rPr>
        <w:t xml:space="preserve"> peut à tout moment être téléchargée au format PDF via le portail MyFost de Fost Plus. </w:t>
      </w:r>
    </w:p>
    <w:p w14:paraId="561C170B" w14:textId="77777777" w:rsidR="00EA189C" w:rsidRPr="00FB0D93" w:rsidRDefault="00EA189C" w:rsidP="00EA189C">
      <w:pPr>
        <w:rPr>
          <w:lang w:val="fr-BE"/>
        </w:rPr>
      </w:pPr>
    </w:p>
    <w:p w14:paraId="0EACEAE0" w14:textId="7633791F" w:rsidR="00EA189C" w:rsidRPr="00FB0D93" w:rsidRDefault="00EA189C" w:rsidP="00EA189C">
      <w:pPr>
        <w:pStyle w:val="Paragraphedeliste"/>
        <w:widowControl/>
        <w:numPr>
          <w:ilvl w:val="0"/>
          <w:numId w:val="42"/>
        </w:numPr>
        <w:adjustRightInd/>
        <w:jc w:val="left"/>
        <w:textAlignment w:val="auto"/>
        <w:rPr>
          <w:lang w:val="fr-BE"/>
        </w:rPr>
      </w:pPr>
      <w:r w:rsidRPr="00FB0D93">
        <w:rPr>
          <w:lang w:val="fr-BE"/>
        </w:rPr>
        <w:t xml:space="preserve">Annexe : </w:t>
      </w:r>
      <w:r w:rsidR="006E6E8D" w:rsidRPr="00FB0D93">
        <w:rPr>
          <w:lang w:val="fr-BE"/>
        </w:rPr>
        <w:t>L</w:t>
      </w:r>
      <w:r w:rsidRPr="00FB0D93">
        <w:rPr>
          <w:lang w:val="fr-BE"/>
        </w:rPr>
        <w:t>iste des communes</w:t>
      </w:r>
    </w:p>
    <w:p w14:paraId="1ABB39BE" w14:textId="3D7560FD" w:rsidR="00EA189C" w:rsidRPr="00FB0D93" w:rsidRDefault="00EA189C" w:rsidP="00EA189C">
      <w:pPr>
        <w:pStyle w:val="Paragraphedeliste"/>
        <w:widowControl/>
        <w:numPr>
          <w:ilvl w:val="0"/>
          <w:numId w:val="42"/>
        </w:numPr>
        <w:adjustRightInd/>
        <w:jc w:val="left"/>
        <w:textAlignment w:val="auto"/>
        <w:rPr>
          <w:lang w:val="fr-BE"/>
        </w:rPr>
      </w:pPr>
      <w:r w:rsidRPr="00FB0D93">
        <w:rPr>
          <w:lang w:val="fr-BE"/>
        </w:rPr>
        <w:t xml:space="preserve">Annexe : </w:t>
      </w:r>
      <w:r w:rsidR="006E6E8D" w:rsidRPr="00FB0D93">
        <w:rPr>
          <w:lang w:val="fr-BE"/>
        </w:rPr>
        <w:t>L</w:t>
      </w:r>
      <w:r w:rsidRPr="00FB0D93">
        <w:rPr>
          <w:lang w:val="fr-BE"/>
        </w:rPr>
        <w:t>’arbre décisionnel</w:t>
      </w:r>
    </w:p>
    <w:p w14:paraId="1BA2E180" w14:textId="527A2911" w:rsidR="00EA189C" w:rsidRPr="00FB0D93" w:rsidRDefault="00EA189C" w:rsidP="00EA189C">
      <w:pPr>
        <w:pStyle w:val="Paragraphedeliste"/>
        <w:widowControl/>
        <w:numPr>
          <w:ilvl w:val="0"/>
          <w:numId w:val="42"/>
        </w:numPr>
        <w:adjustRightInd/>
        <w:jc w:val="left"/>
        <w:textAlignment w:val="auto"/>
        <w:rPr>
          <w:lang w:val="fr-BE"/>
        </w:rPr>
      </w:pPr>
      <w:r w:rsidRPr="00FB0D93">
        <w:rPr>
          <w:lang w:val="fr-BE"/>
        </w:rPr>
        <w:t xml:space="preserve">Annexe : </w:t>
      </w:r>
      <w:r w:rsidR="006E6E8D" w:rsidRPr="00FB0D93">
        <w:rPr>
          <w:lang w:val="fr-BE"/>
        </w:rPr>
        <w:t>A</w:t>
      </w:r>
      <w:r w:rsidRPr="00FB0D93">
        <w:rPr>
          <w:lang w:val="fr-BE"/>
        </w:rPr>
        <w:t xml:space="preserve">perçu </w:t>
      </w:r>
      <w:r w:rsidR="009170C7" w:rsidRPr="00FB0D93">
        <w:rPr>
          <w:lang w:val="fr-BE"/>
        </w:rPr>
        <w:t xml:space="preserve">des </w:t>
      </w:r>
      <w:r w:rsidRPr="00FB0D93">
        <w:rPr>
          <w:lang w:val="fr-BE"/>
        </w:rPr>
        <w:t>emplacement</w:t>
      </w:r>
      <w:r w:rsidR="009170C7" w:rsidRPr="00FB0D93">
        <w:rPr>
          <w:lang w:val="fr-BE"/>
        </w:rPr>
        <w:t>s</w:t>
      </w:r>
      <w:r w:rsidRPr="00FB0D93">
        <w:rPr>
          <w:lang w:val="fr-BE"/>
        </w:rPr>
        <w:t xml:space="preserve"> des bulles à verre au</w:t>
      </w:r>
      <w:r w:rsidR="009170C7" w:rsidRPr="00FB0D93">
        <w:rPr>
          <w:lang w:val="fr-BE"/>
        </w:rPr>
        <w:t xml:space="preserve"> démarrage de la Convention</w:t>
      </w:r>
    </w:p>
    <w:p w14:paraId="52B1BD2C" w14:textId="6D78AA5E" w:rsidR="00EA189C" w:rsidRPr="00FB0D93" w:rsidRDefault="00EA189C" w:rsidP="00EA189C">
      <w:pPr>
        <w:pStyle w:val="Paragraphedeliste"/>
        <w:widowControl/>
        <w:numPr>
          <w:ilvl w:val="0"/>
          <w:numId w:val="42"/>
        </w:numPr>
        <w:adjustRightInd/>
        <w:jc w:val="left"/>
        <w:textAlignment w:val="auto"/>
        <w:rPr>
          <w:lang w:val="fr-BE"/>
        </w:rPr>
      </w:pPr>
      <w:r w:rsidRPr="00FB0D93">
        <w:rPr>
          <w:lang w:val="fr-BE"/>
        </w:rPr>
        <w:t xml:space="preserve">Annexe : </w:t>
      </w:r>
      <w:r w:rsidR="006E6E8D" w:rsidRPr="00FB0D93">
        <w:rPr>
          <w:lang w:val="fr-BE"/>
        </w:rPr>
        <w:t>C</w:t>
      </w:r>
      <w:r w:rsidRPr="00FB0D93">
        <w:rPr>
          <w:lang w:val="fr-BE"/>
        </w:rPr>
        <w:t>ahiers des charges spéciaux pour l’exécution ou l’attribution des activités suivantes</w:t>
      </w:r>
    </w:p>
    <w:p w14:paraId="07B31A61" w14:textId="33865189" w:rsidR="00EA189C" w:rsidRPr="00FB0D93" w:rsidRDefault="00EA189C" w:rsidP="00EA189C">
      <w:pPr>
        <w:pStyle w:val="Paragraphedeliste"/>
        <w:widowControl/>
        <w:numPr>
          <w:ilvl w:val="1"/>
          <w:numId w:val="42"/>
        </w:numPr>
        <w:adjustRightInd/>
        <w:jc w:val="left"/>
        <w:textAlignment w:val="auto"/>
        <w:rPr>
          <w:lang w:val="fr-BE"/>
        </w:rPr>
      </w:pPr>
      <w:r w:rsidRPr="00FB0D93">
        <w:rPr>
          <w:lang w:val="fr-BE"/>
        </w:rPr>
        <w:t xml:space="preserve">En cas de Régie, les </w:t>
      </w:r>
      <w:r w:rsidR="00957ECA" w:rsidRPr="00FB0D93">
        <w:rPr>
          <w:lang w:val="fr-BE"/>
        </w:rPr>
        <w:t xml:space="preserve">modèles de </w:t>
      </w:r>
      <w:r w:rsidRPr="00FB0D93">
        <w:rPr>
          <w:lang w:val="fr-BE"/>
        </w:rPr>
        <w:t xml:space="preserve">cahiers des charges sont disponibles sous la rubrique </w:t>
      </w:r>
      <w:r w:rsidR="009170C7" w:rsidRPr="00FB0D93">
        <w:rPr>
          <w:lang w:val="fr-BE"/>
        </w:rPr>
        <w:t>« </w:t>
      </w:r>
      <w:r w:rsidRPr="00FB0D93">
        <w:rPr>
          <w:lang w:val="fr-BE"/>
        </w:rPr>
        <w:t>Documents standar</w:t>
      </w:r>
      <w:r w:rsidR="009170C7" w:rsidRPr="00FB0D93">
        <w:rPr>
          <w:lang w:val="fr-BE"/>
        </w:rPr>
        <w:t>d »</w:t>
      </w:r>
      <w:r w:rsidRPr="00FB0D93">
        <w:rPr>
          <w:lang w:val="fr-BE"/>
        </w:rPr>
        <w:t xml:space="preserve"> de MyFost.</w:t>
      </w:r>
    </w:p>
    <w:p w14:paraId="7D07A319" w14:textId="50602293" w:rsidR="00EA189C" w:rsidRPr="00FB0D93" w:rsidRDefault="00EA189C" w:rsidP="00EA189C">
      <w:pPr>
        <w:pStyle w:val="Paragraphedeliste"/>
        <w:widowControl/>
        <w:numPr>
          <w:ilvl w:val="1"/>
          <w:numId w:val="42"/>
        </w:numPr>
        <w:adjustRightInd/>
        <w:jc w:val="left"/>
        <w:textAlignment w:val="auto"/>
        <w:rPr>
          <w:lang w:val="fr-BE"/>
        </w:rPr>
      </w:pPr>
      <w:r w:rsidRPr="00FB0D93">
        <w:rPr>
          <w:lang w:val="fr-BE"/>
        </w:rPr>
        <w:t>En cas de sondage du marché sous contrat dans MyFost</w:t>
      </w:r>
    </w:p>
    <w:p w14:paraId="2908E833" w14:textId="42F2BEE0" w:rsidR="00EA189C" w:rsidRPr="00FB0D93" w:rsidRDefault="00EA189C" w:rsidP="00EA189C">
      <w:pPr>
        <w:pStyle w:val="Paragraphedeliste"/>
        <w:widowControl/>
        <w:numPr>
          <w:ilvl w:val="0"/>
          <w:numId w:val="42"/>
        </w:numPr>
        <w:adjustRightInd/>
        <w:jc w:val="left"/>
        <w:textAlignment w:val="auto"/>
        <w:rPr>
          <w:lang w:val="fr-BE"/>
        </w:rPr>
      </w:pPr>
      <w:r w:rsidRPr="00FB0D93">
        <w:rPr>
          <w:lang w:val="fr-BE"/>
        </w:rPr>
        <w:t xml:space="preserve">Annexe : </w:t>
      </w:r>
      <w:r w:rsidR="00966A67" w:rsidRPr="00FB0D93">
        <w:rPr>
          <w:lang w:val="fr-BE"/>
        </w:rPr>
        <w:t>T</w:t>
      </w:r>
      <w:r w:rsidRPr="00FB0D93">
        <w:rPr>
          <w:lang w:val="fr-BE"/>
        </w:rPr>
        <w:t>ransfert et contr</w:t>
      </w:r>
      <w:r w:rsidR="00843AF4" w:rsidRPr="00FB0D93">
        <w:rPr>
          <w:lang w:val="fr-BE"/>
        </w:rPr>
        <w:t>ô</w:t>
      </w:r>
      <w:r w:rsidRPr="00FB0D93">
        <w:rPr>
          <w:lang w:val="fr-BE"/>
        </w:rPr>
        <w:t>le de données</w:t>
      </w:r>
    </w:p>
    <w:p w14:paraId="55C0B894" w14:textId="5AADB6CC" w:rsidR="00EA189C" w:rsidRPr="00FB0D93" w:rsidRDefault="00EA189C" w:rsidP="00EA189C">
      <w:pPr>
        <w:pStyle w:val="Paragraphedeliste"/>
        <w:widowControl/>
        <w:numPr>
          <w:ilvl w:val="0"/>
          <w:numId w:val="42"/>
        </w:numPr>
        <w:adjustRightInd/>
        <w:jc w:val="left"/>
        <w:textAlignment w:val="auto"/>
        <w:rPr>
          <w:lang w:val="fr-BE"/>
        </w:rPr>
      </w:pPr>
      <w:r w:rsidRPr="00FB0D93">
        <w:rPr>
          <w:lang w:val="fr-BE"/>
        </w:rPr>
        <w:t xml:space="preserve">Annexe : </w:t>
      </w:r>
      <w:r w:rsidR="00966A67" w:rsidRPr="00FB0D93">
        <w:rPr>
          <w:lang w:val="fr-BE"/>
        </w:rPr>
        <w:t>M</w:t>
      </w:r>
      <w:r w:rsidR="009170C7" w:rsidRPr="00FB0D93">
        <w:rPr>
          <w:lang w:val="fr-BE"/>
        </w:rPr>
        <w:t xml:space="preserve">odèles de </w:t>
      </w:r>
      <w:r w:rsidRPr="00FB0D93">
        <w:rPr>
          <w:lang w:val="fr-BE"/>
        </w:rPr>
        <w:t xml:space="preserve">cahiers des charges concernant les marchés </w:t>
      </w:r>
      <w:r w:rsidR="009170C7" w:rsidRPr="00FB0D93">
        <w:rPr>
          <w:lang w:val="fr-BE"/>
        </w:rPr>
        <w:t>d’</w:t>
      </w:r>
      <w:r w:rsidRPr="00FB0D93">
        <w:rPr>
          <w:lang w:val="fr-BE"/>
        </w:rPr>
        <w:t xml:space="preserve">acquisition et </w:t>
      </w:r>
      <w:r w:rsidR="009170C7" w:rsidRPr="00FB0D93">
        <w:rPr>
          <w:lang w:val="fr-BE"/>
        </w:rPr>
        <w:t>d</w:t>
      </w:r>
      <w:r w:rsidRPr="00FB0D93">
        <w:rPr>
          <w:lang w:val="fr-BE"/>
        </w:rPr>
        <w:t>e recyclage</w:t>
      </w:r>
    </w:p>
    <w:p w14:paraId="5D75ED9D" w14:textId="5DE34390" w:rsidR="00EA189C" w:rsidRPr="00FB0D93" w:rsidRDefault="00EA189C" w:rsidP="00EA189C">
      <w:pPr>
        <w:pStyle w:val="Paragraphedeliste"/>
        <w:widowControl/>
        <w:numPr>
          <w:ilvl w:val="0"/>
          <w:numId w:val="42"/>
        </w:numPr>
        <w:adjustRightInd/>
        <w:jc w:val="left"/>
        <w:textAlignment w:val="auto"/>
        <w:rPr>
          <w:lang w:val="fr-BE"/>
        </w:rPr>
      </w:pPr>
      <w:r w:rsidRPr="00FB0D93">
        <w:rPr>
          <w:lang w:val="fr-BE"/>
        </w:rPr>
        <w:t xml:space="preserve">Annexe : </w:t>
      </w:r>
      <w:r w:rsidR="00966A67" w:rsidRPr="00FB0D93">
        <w:rPr>
          <w:lang w:val="fr-BE"/>
        </w:rPr>
        <w:t>A</w:t>
      </w:r>
      <w:r w:rsidRPr="00FB0D93">
        <w:rPr>
          <w:lang w:val="fr-BE"/>
        </w:rPr>
        <w:t>ttestation de recyclage</w:t>
      </w:r>
    </w:p>
    <w:p w14:paraId="102996CD" w14:textId="77777777" w:rsidR="00EA189C" w:rsidRPr="00FB0D93" w:rsidRDefault="00EA189C" w:rsidP="00EA189C">
      <w:pPr>
        <w:rPr>
          <w:lang w:val="fr-BE"/>
        </w:rPr>
      </w:pPr>
    </w:p>
    <w:p w14:paraId="268AE621" w14:textId="0E8C328F" w:rsidR="00EA189C" w:rsidRPr="00FB0D93" w:rsidRDefault="00EA189C" w:rsidP="00EA189C">
      <w:pPr>
        <w:rPr>
          <w:lang w:val="fr-BE"/>
        </w:rPr>
      </w:pPr>
      <w:r w:rsidRPr="00FB0D93">
        <w:rPr>
          <w:lang w:val="fr-BE"/>
        </w:rPr>
        <w:t>Ces documents sont consultables via</w:t>
      </w:r>
      <w:r w:rsidR="00110C85" w:rsidRPr="00FB0D93">
        <w:rPr>
          <w:lang w:val="fr-BE"/>
        </w:rPr>
        <w:t xml:space="preserve"> MyFost.be.</w:t>
      </w:r>
    </w:p>
    <w:p w14:paraId="39AB478C" w14:textId="77777777" w:rsidR="00EA189C" w:rsidRPr="00FB0D93" w:rsidRDefault="00EA189C" w:rsidP="00EA189C">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tblGrid>
      <w:tr w:rsidR="00FB0D93" w:rsidRPr="0086132C" w14:paraId="59928A9C" w14:textId="77777777" w:rsidTr="00843AF4">
        <w:trPr>
          <w:trHeight w:val="1253"/>
        </w:trPr>
        <w:tc>
          <w:tcPr>
            <w:tcW w:w="4605" w:type="dxa"/>
          </w:tcPr>
          <w:p w14:paraId="7AE48B3D" w14:textId="0A5CA644" w:rsidR="00EA189C" w:rsidRPr="00FB0D93" w:rsidRDefault="00EA189C" w:rsidP="00843AF4">
            <w:pPr>
              <w:rPr>
                <w:lang w:val="fr-BE"/>
              </w:rPr>
            </w:pPr>
            <w:r w:rsidRPr="00FB0D93">
              <w:rPr>
                <w:lang w:val="fr-BE"/>
              </w:rPr>
              <w:t>Pour accord</w:t>
            </w:r>
          </w:p>
          <w:p w14:paraId="2CBEAB02" w14:textId="77777777" w:rsidR="00EA189C" w:rsidRPr="00FB0D93" w:rsidRDefault="00EA189C" w:rsidP="00843AF4">
            <w:pPr>
              <w:rPr>
                <w:lang w:val="fr-BE"/>
              </w:rPr>
            </w:pPr>
          </w:p>
          <w:p w14:paraId="29B32B58" w14:textId="39AB61CC" w:rsidR="00EA189C" w:rsidRPr="00FB0D93" w:rsidRDefault="00EA189C" w:rsidP="00843AF4">
            <w:pPr>
              <w:rPr>
                <w:lang w:val="fr-BE"/>
              </w:rPr>
            </w:pPr>
            <w:r w:rsidRPr="00FB0D93">
              <w:rPr>
                <w:lang w:val="fr-BE"/>
              </w:rPr>
              <w:t>Cachet + signature de la personne morale de droit public</w:t>
            </w:r>
          </w:p>
        </w:tc>
      </w:tr>
      <w:tr w:rsidR="00EA189C" w:rsidRPr="00FB0D93" w14:paraId="55343877" w14:textId="77777777" w:rsidTr="00843AF4">
        <w:tc>
          <w:tcPr>
            <w:tcW w:w="4605" w:type="dxa"/>
          </w:tcPr>
          <w:p w14:paraId="65DC72FD" w14:textId="3C5A5FC2" w:rsidR="00EA189C" w:rsidRPr="00FB0D93" w:rsidRDefault="00EA189C" w:rsidP="00843AF4">
            <w:pPr>
              <w:rPr>
                <w:lang w:val="fr-BE"/>
              </w:rPr>
            </w:pPr>
            <w:r w:rsidRPr="00FB0D93">
              <w:rPr>
                <w:lang w:val="fr-BE"/>
              </w:rPr>
              <w:t>Date :</w:t>
            </w:r>
          </w:p>
        </w:tc>
      </w:tr>
    </w:tbl>
    <w:p w14:paraId="76CA6E38" w14:textId="77777777" w:rsidR="00EA189C" w:rsidRPr="00FB0D93" w:rsidRDefault="00EA189C">
      <w:pPr>
        <w:rPr>
          <w:lang w:val="fr-BE"/>
        </w:rPr>
      </w:pPr>
    </w:p>
    <w:sectPr w:rsidR="00EA189C" w:rsidRPr="00FB0D93" w:rsidSect="00351368">
      <w:headerReference w:type="default" r:id="rId18"/>
      <w:footerReference w:type="even" r:id="rId19"/>
      <w:footerReference w:type="default" r:id="rId20"/>
      <w:pgSz w:w="11906" w:h="16838" w:code="9"/>
      <w:pgMar w:top="1418" w:right="1418" w:bottom="1418" w:left="1418" w:header="709" w:footer="709"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5004A" w14:textId="77777777" w:rsidR="00EC0A64" w:rsidRDefault="00EC0A64" w:rsidP="00BC309D">
      <w:pPr>
        <w:spacing w:after="0" w:line="240" w:lineRule="auto"/>
      </w:pPr>
      <w:r>
        <w:separator/>
      </w:r>
    </w:p>
  </w:endnote>
  <w:endnote w:type="continuationSeparator" w:id="0">
    <w:p w14:paraId="01941204" w14:textId="77777777" w:rsidR="00EC0A64" w:rsidRDefault="00EC0A64" w:rsidP="00BC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D441" w14:textId="77777777" w:rsidR="00D668CE" w:rsidRDefault="00D668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69D442" w14:textId="77777777" w:rsidR="00D668CE" w:rsidRDefault="00D668C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5797"/>
      <w:docPartObj>
        <w:docPartGallery w:val="Page Numbers (Bottom of Page)"/>
        <w:docPartUnique/>
      </w:docPartObj>
    </w:sdtPr>
    <w:sdtEndPr>
      <w:rPr>
        <w:color w:val="7F7F7F" w:themeColor="background1" w:themeShade="7F"/>
        <w:spacing w:val="60"/>
      </w:rPr>
    </w:sdtEndPr>
    <w:sdtContent>
      <w:p w14:paraId="0769D443" w14:textId="133C8EA2" w:rsidR="00D668CE" w:rsidRDefault="00D668CE" w:rsidP="000E3D01">
        <w:pPr>
          <w:pStyle w:val="Pieddepage"/>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4E5EA2" w:rsidRPr="004E5EA2">
          <w:rPr>
            <w:b/>
            <w:noProof/>
          </w:rPr>
          <w:t>50</w:t>
        </w:r>
        <w:r>
          <w:rPr>
            <w:b/>
            <w:noProof/>
          </w:rPr>
          <w:fldChar w:fldCharType="end"/>
        </w:r>
        <w:r>
          <w:rPr>
            <w:b/>
          </w:rPr>
          <w:t xml:space="preserve"> | </w:t>
        </w:r>
        <w:r>
          <w:rPr>
            <w:color w:val="7F7F7F" w:themeColor="background1" w:themeShade="7F"/>
            <w:spacing w:val="60"/>
          </w:rPr>
          <w:t>Page</w:t>
        </w:r>
      </w:p>
    </w:sdtContent>
  </w:sdt>
  <w:p w14:paraId="0769D444" w14:textId="77777777" w:rsidR="00D668CE" w:rsidRDefault="00D668CE">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83D9" w14:textId="77777777" w:rsidR="00EC0A64" w:rsidRDefault="00EC0A64" w:rsidP="00BC309D">
      <w:pPr>
        <w:spacing w:after="0" w:line="240" w:lineRule="auto"/>
      </w:pPr>
      <w:r>
        <w:separator/>
      </w:r>
    </w:p>
  </w:footnote>
  <w:footnote w:type="continuationSeparator" w:id="0">
    <w:p w14:paraId="1FD989A4" w14:textId="77777777" w:rsidR="00EC0A64" w:rsidRDefault="00EC0A64" w:rsidP="00BC309D">
      <w:pPr>
        <w:spacing w:after="0" w:line="240" w:lineRule="auto"/>
      </w:pPr>
      <w:r>
        <w:continuationSeparator/>
      </w:r>
    </w:p>
  </w:footnote>
  <w:footnote w:id="1">
    <w:p w14:paraId="037BA7D5" w14:textId="448E21E2" w:rsidR="00D668CE" w:rsidRPr="00D81FBB" w:rsidRDefault="00D668CE">
      <w:pPr>
        <w:pStyle w:val="Notedebasdepage"/>
        <w:rPr>
          <w:lang w:val="fr-BE"/>
        </w:rPr>
      </w:pPr>
      <w:r>
        <w:rPr>
          <w:rStyle w:val="Appelnotedebasdep"/>
        </w:rPr>
        <w:footnoteRef/>
      </w:r>
      <w:r w:rsidRPr="00D81FBB">
        <w:rPr>
          <w:lang w:val="fr-BE"/>
        </w:rPr>
        <w:t xml:space="preserve"> </w:t>
      </w:r>
      <w:r>
        <w:rPr>
          <w:lang w:val="fr-BE"/>
        </w:rPr>
        <w:t>Une d</w:t>
      </w:r>
      <w:r w:rsidRPr="00D81FBB">
        <w:rPr>
          <w:lang w:val="fr-BE"/>
        </w:rPr>
        <w:t>istinction doit être faite entre l</w:t>
      </w:r>
      <w:r>
        <w:rPr>
          <w:lang w:val="fr-BE"/>
        </w:rPr>
        <w:t>es emplacements de bulles à verre enterrées et de surface</w:t>
      </w:r>
    </w:p>
  </w:footnote>
  <w:footnote w:id="2">
    <w:p w14:paraId="059FC066" w14:textId="255320E3" w:rsidR="00D668CE" w:rsidRPr="00BE534F" w:rsidRDefault="00D668CE">
      <w:pPr>
        <w:pStyle w:val="Notedebasdepage"/>
        <w:rPr>
          <w:lang w:val="fr-BE"/>
        </w:rPr>
      </w:pPr>
      <w:r>
        <w:rPr>
          <w:rStyle w:val="Appelnotedebasdep"/>
        </w:rPr>
        <w:footnoteRef/>
      </w:r>
      <w:r w:rsidRPr="00BE534F">
        <w:rPr>
          <w:lang w:val="fr-BE"/>
        </w:rPr>
        <w:t xml:space="preserve"> (Modèle de) cahier des charges </w:t>
      </w:r>
      <w:r>
        <w:rPr>
          <w:lang w:val="fr-BE"/>
        </w:rPr>
        <w:t xml:space="preserve">pour la collecte du </w:t>
      </w:r>
      <w:r w:rsidRPr="00BE534F">
        <w:rPr>
          <w:lang w:val="fr-BE"/>
        </w:rPr>
        <w:t>v</w:t>
      </w:r>
      <w:r>
        <w:rPr>
          <w:lang w:val="fr-BE"/>
        </w:rPr>
        <w:t xml:space="preserve">erre par méthode d’apport et/ou </w:t>
      </w:r>
      <w:r w:rsidRPr="00BE534F">
        <w:rPr>
          <w:lang w:val="fr-BE"/>
        </w:rPr>
        <w:t>(</w:t>
      </w:r>
      <w:r>
        <w:rPr>
          <w:lang w:val="fr-BE"/>
        </w:rPr>
        <w:t>m</w:t>
      </w:r>
      <w:r w:rsidRPr="00BE534F">
        <w:rPr>
          <w:lang w:val="fr-BE"/>
        </w:rPr>
        <w:t xml:space="preserve">odèle de) cahier des charges </w:t>
      </w:r>
      <w:r>
        <w:rPr>
          <w:lang w:val="fr-BE"/>
        </w:rPr>
        <w:t xml:space="preserve">pour la collecte du </w:t>
      </w:r>
      <w:r w:rsidRPr="00BE534F">
        <w:rPr>
          <w:lang w:val="fr-BE"/>
        </w:rPr>
        <w:t>v</w:t>
      </w:r>
      <w:r>
        <w:rPr>
          <w:lang w:val="fr-BE"/>
        </w:rPr>
        <w:t>erre en porte à porte</w:t>
      </w:r>
    </w:p>
  </w:footnote>
  <w:footnote w:id="3">
    <w:p w14:paraId="067EC328" w14:textId="300773D9" w:rsidR="00D668CE" w:rsidRPr="00BE534F" w:rsidRDefault="00D668CE">
      <w:pPr>
        <w:pStyle w:val="Notedebasdepage"/>
        <w:rPr>
          <w:lang w:val="fr-BE"/>
        </w:rPr>
      </w:pPr>
      <w:r>
        <w:rPr>
          <w:rStyle w:val="Appelnotedebasdep"/>
        </w:rPr>
        <w:footnoteRef/>
      </w:r>
      <w:r w:rsidRPr="00BE534F">
        <w:rPr>
          <w:lang w:val="fr-BE"/>
        </w:rPr>
        <w:t xml:space="preserve"> (Modèle de) cahier des charges </w:t>
      </w:r>
      <w:r>
        <w:rPr>
          <w:lang w:val="fr-BE"/>
        </w:rPr>
        <w:t xml:space="preserve">pour la collecte du papier-carton et/ou </w:t>
      </w:r>
      <w:r w:rsidRPr="00BE534F">
        <w:rPr>
          <w:lang w:val="fr-BE"/>
        </w:rPr>
        <w:t>(</w:t>
      </w:r>
      <w:r>
        <w:rPr>
          <w:lang w:val="fr-BE"/>
        </w:rPr>
        <w:t>m</w:t>
      </w:r>
      <w:r w:rsidRPr="00BE534F">
        <w:rPr>
          <w:lang w:val="fr-BE"/>
        </w:rPr>
        <w:t xml:space="preserve">odèle de) cahier des charges </w:t>
      </w:r>
      <w:r>
        <w:rPr>
          <w:lang w:val="fr-BE"/>
        </w:rPr>
        <w:t xml:space="preserve">pour la collecte en duo des </w:t>
      </w:r>
      <w:r w:rsidRPr="00905FA2">
        <w:rPr>
          <w:caps/>
          <w:lang w:val="fr-BE"/>
        </w:rPr>
        <w:t>pmc</w:t>
      </w:r>
      <w:r>
        <w:rPr>
          <w:lang w:val="fr-BE"/>
        </w:rPr>
        <w:t xml:space="preserve"> et du papier-carton</w:t>
      </w:r>
    </w:p>
  </w:footnote>
  <w:footnote w:id="4">
    <w:p w14:paraId="09201FC7" w14:textId="497E9F2D" w:rsidR="00D668CE" w:rsidRPr="00BE534F" w:rsidRDefault="00D668CE">
      <w:pPr>
        <w:pStyle w:val="Notedebasdepage"/>
        <w:rPr>
          <w:lang w:val="fr-BE"/>
        </w:rPr>
      </w:pPr>
      <w:r>
        <w:rPr>
          <w:rStyle w:val="Appelnotedebasdep"/>
        </w:rPr>
        <w:footnoteRef/>
      </w:r>
      <w:r w:rsidRPr="00BE534F">
        <w:rPr>
          <w:lang w:val="fr-BE"/>
        </w:rPr>
        <w:t xml:space="preserve"> (Modèle de) cahier des charges </w:t>
      </w:r>
      <w:r>
        <w:rPr>
          <w:lang w:val="fr-BE"/>
        </w:rPr>
        <w:t xml:space="preserve">pour la collecte des </w:t>
      </w:r>
      <w:r w:rsidRPr="00905FA2">
        <w:rPr>
          <w:caps/>
          <w:lang w:val="fr-BE"/>
        </w:rPr>
        <w:t>pmc</w:t>
      </w:r>
      <w:r>
        <w:rPr>
          <w:lang w:val="fr-BE"/>
        </w:rPr>
        <w:t xml:space="preserve"> et/ou </w:t>
      </w:r>
      <w:r w:rsidRPr="00BE534F">
        <w:rPr>
          <w:lang w:val="fr-BE"/>
        </w:rPr>
        <w:t>(</w:t>
      </w:r>
      <w:r>
        <w:rPr>
          <w:lang w:val="fr-BE"/>
        </w:rPr>
        <w:t>m</w:t>
      </w:r>
      <w:r w:rsidRPr="00BE534F">
        <w:rPr>
          <w:lang w:val="fr-BE"/>
        </w:rPr>
        <w:t xml:space="preserve">odèle de) cahier des charges </w:t>
      </w:r>
      <w:r>
        <w:rPr>
          <w:lang w:val="fr-BE"/>
        </w:rPr>
        <w:t xml:space="preserve">pour la collecte en duo des </w:t>
      </w:r>
      <w:r w:rsidRPr="00905FA2">
        <w:rPr>
          <w:caps/>
          <w:lang w:val="fr-BE"/>
        </w:rPr>
        <w:t>pmc</w:t>
      </w:r>
      <w:r>
        <w:rPr>
          <w:lang w:val="fr-BE"/>
        </w:rPr>
        <w:t xml:space="preserve"> et du papier-carton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D440" w14:textId="65A31451" w:rsidR="00D668CE" w:rsidRDefault="00D668CE">
    <w:pPr>
      <w:pStyle w:val="En-tte"/>
      <w:rPr>
        <w:lang w:val="fr-FR"/>
      </w:rPr>
    </w:pPr>
    <w:r w:rsidRPr="006318F1">
      <w:rPr>
        <w:lang w:val="fr-FR"/>
      </w:rPr>
      <w:tab/>
    </w:r>
    <w:r>
      <w:rPr>
        <w:lang w:val="fr-FR"/>
      </w:rPr>
      <w:t>Annexes Contrat-type IC__2019</w:t>
    </w:r>
    <w:r>
      <w:rPr>
        <w:lang w:val="fr-F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42D02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5BA8ED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C6514"/>
    <w:multiLevelType w:val="multilevel"/>
    <w:tmpl w:val="151E9E58"/>
    <w:lvl w:ilvl="0">
      <w:start w:val="1"/>
      <w:numFmt w:val="bullet"/>
      <w:pStyle w:val="Listepuces"/>
      <w:lvlText w:val=""/>
      <w:lvlJc w:val="left"/>
      <w:pPr>
        <w:tabs>
          <w:tab w:val="num" w:pos="360"/>
        </w:tabs>
        <w:ind w:left="199" w:hanging="199"/>
      </w:pPr>
      <w:rPr>
        <w:rFonts w:ascii="Symbol" w:hAnsi="Symbol" w:hint="default"/>
        <w:b w:val="0"/>
        <w:i w:val="0"/>
        <w:spacing w:val="0"/>
        <w:position w:val="0"/>
        <w:sz w:val="16"/>
      </w:rPr>
    </w:lvl>
    <w:lvl w:ilvl="1">
      <w:start w:val="1"/>
      <w:numFmt w:val="bullet"/>
      <w:pStyle w:val="Listepuces2"/>
      <w:lvlText w:val=""/>
      <w:lvlJc w:val="left"/>
      <w:pPr>
        <w:tabs>
          <w:tab w:val="num" w:pos="559"/>
        </w:tabs>
        <w:ind w:left="425" w:hanging="226"/>
      </w:pPr>
      <w:rPr>
        <w:rFonts w:ascii="Symbol" w:hAnsi="Symbol" w:hint="default"/>
        <w:b w:val="0"/>
        <w:i w:val="0"/>
        <w:position w:val="1"/>
        <w:sz w:val="20"/>
      </w:rPr>
    </w:lvl>
    <w:lvl w:ilvl="2">
      <w:start w:val="1"/>
      <w:numFmt w:val="bullet"/>
      <w:pStyle w:val="Listepuces3"/>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3" w15:restartNumberingAfterBreak="0">
    <w:nsid w:val="024406DA"/>
    <w:multiLevelType w:val="hybridMultilevel"/>
    <w:tmpl w:val="BD388540"/>
    <w:lvl w:ilvl="0" w:tplc="D5D880E8">
      <w:numFmt w:val="bullet"/>
      <w:lvlText w:val="-"/>
      <w:lvlJc w:val="left"/>
      <w:pPr>
        <w:tabs>
          <w:tab w:val="num" w:pos="420"/>
        </w:tabs>
        <w:ind w:left="420" w:hanging="360"/>
      </w:pPr>
      <w:rPr>
        <w:rFonts w:ascii="Verdana" w:eastAsia="PMingLiU" w:hAnsi="Verdana"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44B475F"/>
    <w:multiLevelType w:val="singleLevel"/>
    <w:tmpl w:val="520A9DE6"/>
    <w:lvl w:ilvl="0">
      <w:start w:val="1"/>
      <w:numFmt w:val="decimal"/>
      <w:lvlText w:val="%1."/>
      <w:lvlJc w:val="left"/>
      <w:pPr>
        <w:tabs>
          <w:tab w:val="num" w:pos="360"/>
        </w:tabs>
        <w:ind w:left="360" w:hanging="360"/>
      </w:pPr>
      <w:rPr>
        <w:rFonts w:hint="default"/>
      </w:rPr>
    </w:lvl>
  </w:abstractNum>
  <w:abstractNum w:abstractNumId="5" w15:restartNumberingAfterBreak="0">
    <w:nsid w:val="17112E50"/>
    <w:multiLevelType w:val="multilevel"/>
    <w:tmpl w:val="6D5E120E"/>
    <w:lvl w:ilvl="0">
      <w:numFmt w:val="decimal"/>
      <w:pStyle w:val="Titre1"/>
      <w:lvlText w:val="%1"/>
      <w:lvlJc w:val="left"/>
      <w:pPr>
        <w:ind w:left="1106" w:hanging="539"/>
      </w:pPr>
      <w:rPr>
        <w:rFonts w:hint="default"/>
        <w:b w:val="0"/>
        <w:sz w:val="30"/>
        <w:szCs w:val="30"/>
      </w:rPr>
    </w:lvl>
    <w:lvl w:ilvl="1">
      <w:start w:val="1"/>
      <w:numFmt w:val="decimal"/>
      <w:pStyle w:val="Titre2"/>
      <w:lvlText w:val="%1.%2"/>
      <w:lvlJc w:val="left"/>
      <w:pPr>
        <w:tabs>
          <w:tab w:val="num" w:pos="1135"/>
        </w:tabs>
        <w:ind w:left="1135" w:hanging="851"/>
      </w:pPr>
      <w:rPr>
        <w:rFonts w:hint="default"/>
      </w:rPr>
    </w:lvl>
    <w:lvl w:ilvl="2">
      <w:start w:val="1"/>
      <w:numFmt w:val="decimal"/>
      <w:pStyle w:val="Titre3"/>
      <w:lvlText w:val="%1.%2.%3"/>
      <w:lvlJc w:val="left"/>
      <w:pPr>
        <w:ind w:left="5359" w:hanging="539"/>
      </w:pPr>
      <w:rPr>
        <w:rFonts w:hint="default"/>
      </w:rPr>
    </w:lvl>
    <w:lvl w:ilvl="3">
      <w:start w:val="1"/>
      <w:numFmt w:val="decimal"/>
      <w:pStyle w:val="Titre4"/>
      <w:lvlText w:val="%1.%2.%3.%4"/>
      <w:lvlJc w:val="left"/>
      <w:pPr>
        <w:ind w:left="-3781" w:hanging="539"/>
      </w:pPr>
      <w:rPr>
        <w:rFonts w:hint="default"/>
      </w:rPr>
    </w:lvl>
    <w:lvl w:ilvl="4">
      <w:start w:val="1"/>
      <w:numFmt w:val="decimal"/>
      <w:pStyle w:val="Titre5"/>
      <w:lvlText w:val="%1.%2.%3.%4.%5"/>
      <w:lvlJc w:val="left"/>
      <w:pPr>
        <w:ind w:left="-5941" w:hanging="539"/>
      </w:pPr>
      <w:rPr>
        <w:rFonts w:hint="default"/>
      </w:rPr>
    </w:lvl>
    <w:lvl w:ilvl="5">
      <w:start w:val="1"/>
      <w:numFmt w:val="decimal"/>
      <w:pStyle w:val="Titre6"/>
      <w:lvlText w:val="%1.%2.%3.%4.%5.%6"/>
      <w:lvlJc w:val="left"/>
      <w:pPr>
        <w:ind w:left="-8101" w:hanging="539"/>
      </w:pPr>
      <w:rPr>
        <w:rFonts w:hint="default"/>
      </w:rPr>
    </w:lvl>
    <w:lvl w:ilvl="6">
      <w:start w:val="1"/>
      <w:numFmt w:val="decimal"/>
      <w:pStyle w:val="Titre7"/>
      <w:lvlText w:val="%1.%2.%3.%4.%5.%6.%7"/>
      <w:lvlJc w:val="left"/>
      <w:pPr>
        <w:ind w:left="-10261" w:hanging="539"/>
      </w:pPr>
      <w:rPr>
        <w:rFonts w:hint="default"/>
      </w:rPr>
    </w:lvl>
    <w:lvl w:ilvl="7">
      <w:start w:val="1"/>
      <w:numFmt w:val="decimal"/>
      <w:pStyle w:val="Titre8"/>
      <w:lvlText w:val="%1.%2.%3.%4.%5.%6.%7.%8"/>
      <w:lvlJc w:val="left"/>
      <w:pPr>
        <w:ind w:left="-12421" w:hanging="539"/>
      </w:pPr>
      <w:rPr>
        <w:rFonts w:hint="default"/>
      </w:rPr>
    </w:lvl>
    <w:lvl w:ilvl="8">
      <w:start w:val="1"/>
      <w:numFmt w:val="decimal"/>
      <w:pStyle w:val="Titre9"/>
      <w:lvlText w:val="%1.%2.%3.%4.%5.%6.%7.%8.%9"/>
      <w:lvlJc w:val="left"/>
      <w:pPr>
        <w:ind w:left="-14581" w:hanging="539"/>
      </w:pPr>
      <w:rPr>
        <w:rFonts w:hint="default"/>
      </w:rPr>
    </w:lvl>
  </w:abstractNum>
  <w:abstractNum w:abstractNumId="6" w15:restartNumberingAfterBreak="0">
    <w:nsid w:val="1E89361E"/>
    <w:multiLevelType w:val="multilevel"/>
    <w:tmpl w:val="98B84820"/>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lvlText w:val=""/>
      <w:lvlJc w:val="left"/>
      <w:pPr>
        <w:tabs>
          <w:tab w:val="num" w:pos="559"/>
        </w:tabs>
        <w:ind w:left="559" w:hanging="360"/>
      </w:pPr>
      <w:rPr>
        <w:rFonts w:ascii="Symbol" w:hAnsi="Symbol" w:hint="default"/>
        <w:b w:val="0"/>
        <w:i w:val="0"/>
        <w:spacing w:val="0"/>
        <w:position w:val="0"/>
        <w:sz w:val="16"/>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7" w15:restartNumberingAfterBreak="0">
    <w:nsid w:val="20162B03"/>
    <w:multiLevelType w:val="hybridMultilevel"/>
    <w:tmpl w:val="D5244E3E"/>
    <w:lvl w:ilvl="0" w:tplc="5CF2308E">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6936FD"/>
    <w:multiLevelType w:val="singleLevel"/>
    <w:tmpl w:val="8A2AFDEC"/>
    <w:lvl w:ilvl="0">
      <w:start w:val="1"/>
      <w:numFmt w:val="decimal"/>
      <w:lvlText w:val="%1."/>
      <w:lvlJc w:val="left"/>
      <w:pPr>
        <w:tabs>
          <w:tab w:val="num" w:pos="360"/>
        </w:tabs>
        <w:ind w:left="360" w:hanging="360"/>
      </w:pPr>
      <w:rPr>
        <w:rFonts w:cs="Times New Roman" w:hint="default"/>
        <w:color w:val="auto"/>
      </w:rPr>
    </w:lvl>
  </w:abstractNum>
  <w:abstractNum w:abstractNumId="9" w15:restartNumberingAfterBreak="0">
    <w:nsid w:val="30765908"/>
    <w:multiLevelType w:val="multilevel"/>
    <w:tmpl w:val="C256F6B6"/>
    <w:lvl w:ilvl="0">
      <w:numFmt w:val="decimal"/>
      <w:lvlText w:val="%1"/>
      <w:lvlJc w:val="left"/>
      <w:pPr>
        <w:tabs>
          <w:tab w:val="num" w:pos="539"/>
        </w:tabs>
        <w:ind w:left="539" w:hanging="539"/>
      </w:pPr>
      <w:rPr>
        <w:rFonts w:cs="Times New Roman" w:hint="default"/>
        <w:spacing w:val="0"/>
        <w:position w:val="0"/>
      </w:rPr>
    </w:lvl>
    <w:lvl w:ilvl="1">
      <w:start w:val="1"/>
      <w:numFmt w:val="decimal"/>
      <w:lvlText w:val="%1.%2"/>
      <w:lvlJc w:val="left"/>
      <w:pPr>
        <w:tabs>
          <w:tab w:val="num" w:pos="851"/>
        </w:tabs>
        <w:ind w:left="851" w:hanging="851"/>
      </w:pPr>
      <w:rPr>
        <w:rFonts w:cs="Times New Roman" w:hint="default"/>
        <w:position w:val="0"/>
      </w:rPr>
    </w:lvl>
    <w:lvl w:ilvl="2">
      <w:start w:val="1"/>
      <w:numFmt w:val="decimal"/>
      <w:lvlText w:val="%1.%2.%3"/>
      <w:lvlJc w:val="left"/>
      <w:pPr>
        <w:tabs>
          <w:tab w:val="num" w:pos="1106"/>
        </w:tabs>
        <w:ind w:left="1106" w:hanging="1106"/>
      </w:pPr>
      <w:rPr>
        <w:rFonts w:cs="Times New Roman" w:hint="default"/>
        <w:position w:val="0"/>
      </w:rPr>
    </w:lvl>
    <w:lvl w:ilvl="3">
      <w:start w:val="1"/>
      <w:numFmt w:val="decimal"/>
      <w:lvlText w:val="%1.%2.%3.%4"/>
      <w:lvlJc w:val="left"/>
      <w:pPr>
        <w:tabs>
          <w:tab w:val="num" w:pos="807"/>
        </w:tabs>
        <w:ind w:left="1106" w:hanging="1106"/>
      </w:pPr>
      <w:rPr>
        <w:rFonts w:cs="Times New Roman" w:hint="default"/>
      </w:rPr>
    </w:lvl>
    <w:lvl w:ilvl="4">
      <w:start w:val="1"/>
      <w:numFmt w:val="decimal"/>
      <w:lvlText w:val="%1.%2.%3.%4.%5"/>
      <w:lvlJc w:val="left"/>
      <w:pPr>
        <w:tabs>
          <w:tab w:val="num" w:pos="951"/>
        </w:tabs>
        <w:ind w:left="1106" w:hanging="1106"/>
      </w:pPr>
      <w:rPr>
        <w:rFonts w:cs="Times New Roman" w:hint="default"/>
      </w:rPr>
    </w:lvl>
    <w:lvl w:ilvl="5">
      <w:start w:val="1"/>
      <w:numFmt w:val="decimal"/>
      <w:lvlText w:val="%1.%2.%3.%4.%5.%6"/>
      <w:lvlJc w:val="left"/>
      <w:pPr>
        <w:tabs>
          <w:tab w:val="num" w:pos="1095"/>
        </w:tabs>
        <w:ind w:left="1095" w:hanging="1152"/>
      </w:pPr>
      <w:rPr>
        <w:rFonts w:cs="Times New Roman" w:hint="default"/>
      </w:rPr>
    </w:lvl>
    <w:lvl w:ilvl="6">
      <w:start w:val="1"/>
      <w:numFmt w:val="decimal"/>
      <w:lvlText w:val="%1.%2.%3.%4.%5.%6.%7"/>
      <w:lvlJc w:val="left"/>
      <w:pPr>
        <w:tabs>
          <w:tab w:val="num" w:pos="1239"/>
        </w:tabs>
        <w:ind w:left="1239" w:hanging="1296"/>
      </w:pPr>
      <w:rPr>
        <w:rFonts w:cs="Times New Roman" w:hint="default"/>
      </w:rPr>
    </w:lvl>
    <w:lvl w:ilvl="7">
      <w:start w:val="1"/>
      <w:numFmt w:val="decimal"/>
      <w:lvlText w:val="%1.%2.%3.%4.%5.%6.%7.%8"/>
      <w:lvlJc w:val="left"/>
      <w:pPr>
        <w:tabs>
          <w:tab w:val="num" w:pos="1383"/>
        </w:tabs>
        <w:ind w:left="1383" w:hanging="1440"/>
      </w:pPr>
      <w:rPr>
        <w:rFonts w:cs="Times New Roman" w:hint="default"/>
      </w:rPr>
    </w:lvl>
    <w:lvl w:ilvl="8">
      <w:start w:val="1"/>
      <w:numFmt w:val="decimal"/>
      <w:lvlText w:val="%1.%2.%3.%4.%5.%6.%7.%8.%9"/>
      <w:lvlJc w:val="left"/>
      <w:pPr>
        <w:tabs>
          <w:tab w:val="num" w:pos="1527"/>
        </w:tabs>
        <w:ind w:left="1527" w:hanging="1584"/>
      </w:pPr>
      <w:rPr>
        <w:rFonts w:cs="Times New Roman" w:hint="default"/>
      </w:rPr>
    </w:lvl>
  </w:abstractNum>
  <w:abstractNum w:abstractNumId="10" w15:restartNumberingAfterBreak="0">
    <w:nsid w:val="32465B4F"/>
    <w:multiLevelType w:val="hybridMultilevel"/>
    <w:tmpl w:val="D9ECC8B6"/>
    <w:lvl w:ilvl="0" w:tplc="4990764C">
      <w:start w:val="13"/>
      <w:numFmt w:val="decimal"/>
      <w:lvlText w:val="%1."/>
      <w:lvlJc w:val="left"/>
      <w:pPr>
        <w:ind w:left="855" w:hanging="495"/>
      </w:pPr>
      <w:rPr>
        <w:rFonts w:hint="default"/>
        <w:b w:val="0"/>
        <w:color w:val="000000" w:themeColor="text1"/>
        <w:sz w:val="3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081D2F"/>
    <w:multiLevelType w:val="singleLevel"/>
    <w:tmpl w:val="520A9DE6"/>
    <w:lvl w:ilvl="0">
      <w:start w:val="1"/>
      <w:numFmt w:val="decimal"/>
      <w:lvlText w:val="%1."/>
      <w:lvlJc w:val="left"/>
      <w:pPr>
        <w:tabs>
          <w:tab w:val="num" w:pos="360"/>
        </w:tabs>
        <w:ind w:left="360" w:hanging="360"/>
      </w:pPr>
      <w:rPr>
        <w:rFonts w:hint="default"/>
      </w:rPr>
    </w:lvl>
  </w:abstractNum>
  <w:abstractNum w:abstractNumId="12" w15:restartNumberingAfterBreak="0">
    <w:nsid w:val="4DC0151D"/>
    <w:multiLevelType w:val="hybridMultilevel"/>
    <w:tmpl w:val="20885F74"/>
    <w:lvl w:ilvl="0" w:tplc="4C90AC80">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4DC260CE"/>
    <w:multiLevelType w:val="singleLevel"/>
    <w:tmpl w:val="520A9DE6"/>
    <w:lvl w:ilvl="0">
      <w:start w:val="1"/>
      <w:numFmt w:val="decimal"/>
      <w:lvlText w:val="%1."/>
      <w:lvlJc w:val="left"/>
      <w:pPr>
        <w:tabs>
          <w:tab w:val="num" w:pos="360"/>
        </w:tabs>
        <w:ind w:left="360" w:hanging="360"/>
      </w:pPr>
      <w:rPr>
        <w:rFonts w:hint="default"/>
      </w:rPr>
    </w:lvl>
  </w:abstractNum>
  <w:abstractNum w:abstractNumId="14" w15:restartNumberingAfterBreak="0">
    <w:nsid w:val="4EE60F3F"/>
    <w:multiLevelType w:val="hybridMultilevel"/>
    <w:tmpl w:val="87B0F4CA"/>
    <w:lvl w:ilvl="0" w:tplc="D2BC0E1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992AB3"/>
    <w:multiLevelType w:val="hybridMultilevel"/>
    <w:tmpl w:val="8B1C41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A22CA2"/>
    <w:multiLevelType w:val="hybridMultilevel"/>
    <w:tmpl w:val="1B0612DE"/>
    <w:lvl w:ilvl="0" w:tplc="8F9CC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B292B"/>
    <w:multiLevelType w:val="hybridMultilevel"/>
    <w:tmpl w:val="0F5A7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804C78"/>
    <w:multiLevelType w:val="multilevel"/>
    <w:tmpl w:val="06764D12"/>
    <w:lvl w:ilvl="0">
      <w:start w:val="1"/>
      <w:numFmt w:val="decimal"/>
      <w:pStyle w:val="Listenumros"/>
      <w:lvlText w:val="%1"/>
      <w:lvlJc w:val="left"/>
      <w:pPr>
        <w:tabs>
          <w:tab w:val="num" w:pos="360"/>
        </w:tabs>
        <w:ind w:left="357" w:hanging="357"/>
      </w:pPr>
      <w:rPr>
        <w:rFonts w:ascii="Arial" w:hAnsi="Arial" w:hint="default"/>
        <w:b w:val="0"/>
        <w:i w:val="0"/>
        <w:spacing w:val="0"/>
        <w:position w:val="1"/>
        <w:sz w:val="16"/>
      </w:rPr>
    </w:lvl>
    <w:lvl w:ilvl="1">
      <w:start w:val="3"/>
      <w:numFmt w:val="decimal"/>
      <w:pStyle w:val="Listenumros2"/>
      <w:lvlText w:val="%1.%2"/>
      <w:lvlJc w:val="left"/>
      <w:pPr>
        <w:tabs>
          <w:tab w:val="num" w:pos="839"/>
        </w:tabs>
        <w:ind w:left="839" w:hanging="482"/>
      </w:pPr>
      <w:rPr>
        <w:rFonts w:ascii="Arial" w:hAnsi="Arial" w:hint="default"/>
        <w:b w:val="0"/>
        <w:i w:val="0"/>
        <w:position w:val="1"/>
        <w:sz w:val="16"/>
      </w:rPr>
    </w:lvl>
    <w:lvl w:ilvl="2">
      <w:start w:val="1"/>
      <w:numFmt w:val="decimal"/>
      <w:lvlText w:val="%1.%2.%3"/>
      <w:lvlJc w:val="left"/>
      <w:pPr>
        <w:tabs>
          <w:tab w:val="num" w:pos="0"/>
        </w:tabs>
        <w:ind w:left="0" w:firstLine="0"/>
      </w:pPr>
      <w:rPr>
        <w:rFonts w:ascii="Verdana" w:hAnsi="Verdana"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759C31ED"/>
    <w:multiLevelType w:val="hybridMultilevel"/>
    <w:tmpl w:val="8EF4AB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CA5DD1"/>
    <w:multiLevelType w:val="hybridMultilevel"/>
    <w:tmpl w:val="CDCC9EFC"/>
    <w:lvl w:ilvl="0" w:tplc="080C1B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3"/>
  </w:num>
  <w:num w:numId="7">
    <w:abstractNumId w:val="7"/>
  </w:num>
  <w:num w:numId="8">
    <w:abstractNumId w:val="15"/>
  </w:num>
  <w:num w:numId="9">
    <w:abstractNumId w:val="3"/>
  </w:num>
  <w:num w:numId="10">
    <w:abstractNumId w:val="19"/>
  </w:num>
  <w:num w:numId="11">
    <w:abstractNumId w:val="5"/>
  </w:num>
  <w:num w:numId="12">
    <w:abstractNumId w:val="14"/>
  </w:num>
  <w:num w:numId="13">
    <w:abstractNumId w:val="20"/>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9"/>
  </w:num>
  <w:num w:numId="29">
    <w:abstractNumId w:val="5"/>
  </w:num>
  <w:num w:numId="30">
    <w:abstractNumId w:val="1"/>
  </w:num>
  <w:num w:numId="31">
    <w:abstractNumId w:val="0"/>
  </w:num>
  <w:num w:numId="32">
    <w:abstractNumId w:val="2"/>
  </w:num>
  <w:num w:numId="33">
    <w:abstractNumId w:val="5"/>
  </w:num>
  <w:num w:numId="34">
    <w:abstractNumId w:val="2"/>
  </w:num>
  <w:num w:numId="35">
    <w:abstractNumId w:val="5"/>
  </w:num>
  <w:num w:numId="36">
    <w:abstractNumId w:val="9"/>
  </w:num>
  <w:num w:numId="37">
    <w:abstractNumId w:val="17"/>
  </w:num>
  <w:num w:numId="38">
    <w:abstractNumId w:val="8"/>
  </w:num>
  <w:num w:numId="39">
    <w:abstractNumId w:val="16"/>
  </w:num>
  <w:num w:numId="40">
    <w:abstractNumId w:val="2"/>
  </w:num>
  <w:num w:numId="41">
    <w:abstractNumId w:val="6"/>
  </w:num>
  <w:num w:numId="42">
    <w:abstractNumId w:val="12"/>
  </w:num>
  <w:num w:numId="43">
    <w:abstractNumId w:val="5"/>
  </w:num>
  <w:num w:numId="44">
    <w:abstractNumId w:val="5"/>
  </w:num>
  <w:num w:numId="45">
    <w:abstractNumId w:val="5"/>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oNotTrackFormatting/>
  <w:documentProtection w:edit="readOnly" w:enforcement="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9D"/>
    <w:rsid w:val="00002DFA"/>
    <w:rsid w:val="000057C6"/>
    <w:rsid w:val="00006E4E"/>
    <w:rsid w:val="00006E5E"/>
    <w:rsid w:val="0001502C"/>
    <w:rsid w:val="000155C5"/>
    <w:rsid w:val="00027F9B"/>
    <w:rsid w:val="00037447"/>
    <w:rsid w:val="000423A3"/>
    <w:rsid w:val="00053CA5"/>
    <w:rsid w:val="000545D4"/>
    <w:rsid w:val="00070A25"/>
    <w:rsid w:val="00077D24"/>
    <w:rsid w:val="0008605C"/>
    <w:rsid w:val="000A73F7"/>
    <w:rsid w:val="000B0D37"/>
    <w:rsid w:val="000C2858"/>
    <w:rsid w:val="000C546A"/>
    <w:rsid w:val="000C5A0B"/>
    <w:rsid w:val="000C6CB3"/>
    <w:rsid w:val="000E25D7"/>
    <w:rsid w:val="000E3D01"/>
    <w:rsid w:val="000E4D3A"/>
    <w:rsid w:val="000E706D"/>
    <w:rsid w:val="000F0901"/>
    <w:rsid w:val="00100C29"/>
    <w:rsid w:val="00103217"/>
    <w:rsid w:val="00110C85"/>
    <w:rsid w:val="00113462"/>
    <w:rsid w:val="001168D3"/>
    <w:rsid w:val="00122757"/>
    <w:rsid w:val="00131CE0"/>
    <w:rsid w:val="00137519"/>
    <w:rsid w:val="001562CB"/>
    <w:rsid w:val="00170280"/>
    <w:rsid w:val="001712DE"/>
    <w:rsid w:val="00177760"/>
    <w:rsid w:val="00181E64"/>
    <w:rsid w:val="00185B8A"/>
    <w:rsid w:val="001A238B"/>
    <w:rsid w:val="001A5D82"/>
    <w:rsid w:val="001B413C"/>
    <w:rsid w:val="001C4C65"/>
    <w:rsid w:val="001D0072"/>
    <w:rsid w:val="001E0023"/>
    <w:rsid w:val="001E0B4B"/>
    <w:rsid w:val="001E2450"/>
    <w:rsid w:val="001E6474"/>
    <w:rsid w:val="001F1BA6"/>
    <w:rsid w:val="001F26F2"/>
    <w:rsid w:val="001F41C0"/>
    <w:rsid w:val="002031A1"/>
    <w:rsid w:val="00213BAC"/>
    <w:rsid w:val="00213FC3"/>
    <w:rsid w:val="00214154"/>
    <w:rsid w:val="00224AD2"/>
    <w:rsid w:val="00233140"/>
    <w:rsid w:val="00241917"/>
    <w:rsid w:val="002424F5"/>
    <w:rsid w:val="00247508"/>
    <w:rsid w:val="00247CD0"/>
    <w:rsid w:val="00251FD3"/>
    <w:rsid w:val="0025616C"/>
    <w:rsid w:val="002802A4"/>
    <w:rsid w:val="00282DC5"/>
    <w:rsid w:val="0029318A"/>
    <w:rsid w:val="00295912"/>
    <w:rsid w:val="002A107E"/>
    <w:rsid w:val="002B3CC8"/>
    <w:rsid w:val="002B4C12"/>
    <w:rsid w:val="002D0433"/>
    <w:rsid w:val="002D6E21"/>
    <w:rsid w:val="002E04B6"/>
    <w:rsid w:val="002E2492"/>
    <w:rsid w:val="002E7580"/>
    <w:rsid w:val="00302989"/>
    <w:rsid w:val="00334D92"/>
    <w:rsid w:val="00342D80"/>
    <w:rsid w:val="00351368"/>
    <w:rsid w:val="003643D7"/>
    <w:rsid w:val="00365689"/>
    <w:rsid w:val="00365E93"/>
    <w:rsid w:val="00370504"/>
    <w:rsid w:val="00374E9F"/>
    <w:rsid w:val="003876CA"/>
    <w:rsid w:val="003911C3"/>
    <w:rsid w:val="003A0673"/>
    <w:rsid w:val="003B1396"/>
    <w:rsid w:val="003C2A68"/>
    <w:rsid w:val="003C68B2"/>
    <w:rsid w:val="003D714C"/>
    <w:rsid w:val="003F30A6"/>
    <w:rsid w:val="004019BE"/>
    <w:rsid w:val="00417723"/>
    <w:rsid w:val="0042143A"/>
    <w:rsid w:val="004347FB"/>
    <w:rsid w:val="00436798"/>
    <w:rsid w:val="00437449"/>
    <w:rsid w:val="00450A03"/>
    <w:rsid w:val="004546A8"/>
    <w:rsid w:val="00456266"/>
    <w:rsid w:val="004735F1"/>
    <w:rsid w:val="004766BB"/>
    <w:rsid w:val="00490A05"/>
    <w:rsid w:val="004A6574"/>
    <w:rsid w:val="004A7D36"/>
    <w:rsid w:val="004C057B"/>
    <w:rsid w:val="004C397C"/>
    <w:rsid w:val="004C4696"/>
    <w:rsid w:val="004C7CA0"/>
    <w:rsid w:val="004D0839"/>
    <w:rsid w:val="004D6711"/>
    <w:rsid w:val="004E1495"/>
    <w:rsid w:val="004E5EA2"/>
    <w:rsid w:val="004E61C7"/>
    <w:rsid w:val="004F06D4"/>
    <w:rsid w:val="004F17E2"/>
    <w:rsid w:val="004F6097"/>
    <w:rsid w:val="005121A8"/>
    <w:rsid w:val="00513BA7"/>
    <w:rsid w:val="00514927"/>
    <w:rsid w:val="00520239"/>
    <w:rsid w:val="005244BD"/>
    <w:rsid w:val="005255A5"/>
    <w:rsid w:val="00532B80"/>
    <w:rsid w:val="00542739"/>
    <w:rsid w:val="0055192F"/>
    <w:rsid w:val="00551A3C"/>
    <w:rsid w:val="005561E1"/>
    <w:rsid w:val="005571F6"/>
    <w:rsid w:val="00560A73"/>
    <w:rsid w:val="00566B69"/>
    <w:rsid w:val="00567322"/>
    <w:rsid w:val="00567544"/>
    <w:rsid w:val="00571A1D"/>
    <w:rsid w:val="00572BB3"/>
    <w:rsid w:val="00584B10"/>
    <w:rsid w:val="00591F6D"/>
    <w:rsid w:val="00592E5D"/>
    <w:rsid w:val="00595A8E"/>
    <w:rsid w:val="005A3C7C"/>
    <w:rsid w:val="005B6F53"/>
    <w:rsid w:val="005D1D33"/>
    <w:rsid w:val="005F24E0"/>
    <w:rsid w:val="005F25CF"/>
    <w:rsid w:val="005F42D9"/>
    <w:rsid w:val="00601B01"/>
    <w:rsid w:val="00601B6B"/>
    <w:rsid w:val="00602E74"/>
    <w:rsid w:val="006037E8"/>
    <w:rsid w:val="00605D42"/>
    <w:rsid w:val="00612052"/>
    <w:rsid w:val="006122E7"/>
    <w:rsid w:val="006139CF"/>
    <w:rsid w:val="00622A09"/>
    <w:rsid w:val="006318F1"/>
    <w:rsid w:val="00632EA2"/>
    <w:rsid w:val="00637BDE"/>
    <w:rsid w:val="006428B4"/>
    <w:rsid w:val="006505B1"/>
    <w:rsid w:val="00655279"/>
    <w:rsid w:val="00656706"/>
    <w:rsid w:val="00661D01"/>
    <w:rsid w:val="00661F2D"/>
    <w:rsid w:val="0067019D"/>
    <w:rsid w:val="00671FB1"/>
    <w:rsid w:val="00674651"/>
    <w:rsid w:val="006932AF"/>
    <w:rsid w:val="00695231"/>
    <w:rsid w:val="006A11C0"/>
    <w:rsid w:val="006A7FF0"/>
    <w:rsid w:val="006B54C2"/>
    <w:rsid w:val="006E6BD7"/>
    <w:rsid w:val="006E6E8D"/>
    <w:rsid w:val="007000B9"/>
    <w:rsid w:val="00701830"/>
    <w:rsid w:val="00707379"/>
    <w:rsid w:val="00710ABC"/>
    <w:rsid w:val="00713C9D"/>
    <w:rsid w:val="00731FD1"/>
    <w:rsid w:val="00734CFB"/>
    <w:rsid w:val="00736B31"/>
    <w:rsid w:val="00737011"/>
    <w:rsid w:val="0074589F"/>
    <w:rsid w:val="00751832"/>
    <w:rsid w:val="00755FB4"/>
    <w:rsid w:val="0076507E"/>
    <w:rsid w:val="007701E8"/>
    <w:rsid w:val="00775996"/>
    <w:rsid w:val="007759C2"/>
    <w:rsid w:val="00780038"/>
    <w:rsid w:val="00784EDB"/>
    <w:rsid w:val="00785594"/>
    <w:rsid w:val="007A2E30"/>
    <w:rsid w:val="007A4967"/>
    <w:rsid w:val="007B4468"/>
    <w:rsid w:val="007B5DEB"/>
    <w:rsid w:val="007D23BC"/>
    <w:rsid w:val="007E0214"/>
    <w:rsid w:val="007E76B8"/>
    <w:rsid w:val="00805ABA"/>
    <w:rsid w:val="00827B55"/>
    <w:rsid w:val="008302BE"/>
    <w:rsid w:val="0084278E"/>
    <w:rsid w:val="00843AF4"/>
    <w:rsid w:val="008538E0"/>
    <w:rsid w:val="00854769"/>
    <w:rsid w:val="0086132C"/>
    <w:rsid w:val="00864601"/>
    <w:rsid w:val="0087158F"/>
    <w:rsid w:val="00871B91"/>
    <w:rsid w:val="008731CD"/>
    <w:rsid w:val="0087615B"/>
    <w:rsid w:val="00880570"/>
    <w:rsid w:val="00893FB2"/>
    <w:rsid w:val="0089793A"/>
    <w:rsid w:val="008A5B65"/>
    <w:rsid w:val="008A6D0A"/>
    <w:rsid w:val="008A6D8A"/>
    <w:rsid w:val="008B48C4"/>
    <w:rsid w:val="008C114A"/>
    <w:rsid w:val="008C309B"/>
    <w:rsid w:val="008C586E"/>
    <w:rsid w:val="008D3564"/>
    <w:rsid w:val="008D450B"/>
    <w:rsid w:val="008E7621"/>
    <w:rsid w:val="008F017B"/>
    <w:rsid w:val="008F0CC4"/>
    <w:rsid w:val="009007F3"/>
    <w:rsid w:val="009031FF"/>
    <w:rsid w:val="00903A43"/>
    <w:rsid w:val="00904401"/>
    <w:rsid w:val="00904989"/>
    <w:rsid w:val="00905F28"/>
    <w:rsid w:val="00905FA2"/>
    <w:rsid w:val="00915261"/>
    <w:rsid w:val="009170C7"/>
    <w:rsid w:val="00921164"/>
    <w:rsid w:val="00931DE0"/>
    <w:rsid w:val="00935358"/>
    <w:rsid w:val="00937206"/>
    <w:rsid w:val="00941E21"/>
    <w:rsid w:val="009444DF"/>
    <w:rsid w:val="00957ECA"/>
    <w:rsid w:val="00961049"/>
    <w:rsid w:val="00966A67"/>
    <w:rsid w:val="00967B72"/>
    <w:rsid w:val="00995EEE"/>
    <w:rsid w:val="009A1282"/>
    <w:rsid w:val="009B0E40"/>
    <w:rsid w:val="009B19C5"/>
    <w:rsid w:val="009D1A51"/>
    <w:rsid w:val="009D3343"/>
    <w:rsid w:val="009E1629"/>
    <w:rsid w:val="009E55C5"/>
    <w:rsid w:val="009E5D52"/>
    <w:rsid w:val="009E648D"/>
    <w:rsid w:val="00A02E57"/>
    <w:rsid w:val="00A03550"/>
    <w:rsid w:val="00A038DA"/>
    <w:rsid w:val="00A05E92"/>
    <w:rsid w:val="00A05F79"/>
    <w:rsid w:val="00A118E2"/>
    <w:rsid w:val="00A22B38"/>
    <w:rsid w:val="00A22C30"/>
    <w:rsid w:val="00A23D86"/>
    <w:rsid w:val="00A23FC2"/>
    <w:rsid w:val="00A25717"/>
    <w:rsid w:val="00A3018F"/>
    <w:rsid w:val="00A44D28"/>
    <w:rsid w:val="00A47640"/>
    <w:rsid w:val="00A55AAD"/>
    <w:rsid w:val="00A61BAB"/>
    <w:rsid w:val="00A643E0"/>
    <w:rsid w:val="00A65015"/>
    <w:rsid w:val="00A80376"/>
    <w:rsid w:val="00A804C1"/>
    <w:rsid w:val="00A82E25"/>
    <w:rsid w:val="00A97926"/>
    <w:rsid w:val="00AA5990"/>
    <w:rsid w:val="00AA6D82"/>
    <w:rsid w:val="00AB155A"/>
    <w:rsid w:val="00AB1D24"/>
    <w:rsid w:val="00AB558D"/>
    <w:rsid w:val="00AB7FBF"/>
    <w:rsid w:val="00AD0198"/>
    <w:rsid w:val="00AE0A3E"/>
    <w:rsid w:val="00AE37A2"/>
    <w:rsid w:val="00AF02BA"/>
    <w:rsid w:val="00AF30E0"/>
    <w:rsid w:val="00B050D7"/>
    <w:rsid w:val="00B10226"/>
    <w:rsid w:val="00B12480"/>
    <w:rsid w:val="00B204E0"/>
    <w:rsid w:val="00B3114E"/>
    <w:rsid w:val="00B3157D"/>
    <w:rsid w:val="00B52C41"/>
    <w:rsid w:val="00B6045F"/>
    <w:rsid w:val="00B64D37"/>
    <w:rsid w:val="00B658E3"/>
    <w:rsid w:val="00B702EA"/>
    <w:rsid w:val="00B7071C"/>
    <w:rsid w:val="00B71CB1"/>
    <w:rsid w:val="00B847E2"/>
    <w:rsid w:val="00B86799"/>
    <w:rsid w:val="00B9561C"/>
    <w:rsid w:val="00B96E7C"/>
    <w:rsid w:val="00B971E3"/>
    <w:rsid w:val="00BB43A8"/>
    <w:rsid w:val="00BC309D"/>
    <w:rsid w:val="00BC733D"/>
    <w:rsid w:val="00BD474A"/>
    <w:rsid w:val="00BE534F"/>
    <w:rsid w:val="00BF0343"/>
    <w:rsid w:val="00C00D17"/>
    <w:rsid w:val="00C04519"/>
    <w:rsid w:val="00C15412"/>
    <w:rsid w:val="00C24D2B"/>
    <w:rsid w:val="00C24F59"/>
    <w:rsid w:val="00C44BC1"/>
    <w:rsid w:val="00C44DB3"/>
    <w:rsid w:val="00C454BB"/>
    <w:rsid w:val="00C5170A"/>
    <w:rsid w:val="00C51D3F"/>
    <w:rsid w:val="00C5632B"/>
    <w:rsid w:val="00C61171"/>
    <w:rsid w:val="00C61DF7"/>
    <w:rsid w:val="00C62011"/>
    <w:rsid w:val="00C74443"/>
    <w:rsid w:val="00C7602A"/>
    <w:rsid w:val="00C76314"/>
    <w:rsid w:val="00C77279"/>
    <w:rsid w:val="00C80C28"/>
    <w:rsid w:val="00C83A76"/>
    <w:rsid w:val="00C83DB0"/>
    <w:rsid w:val="00C934B2"/>
    <w:rsid w:val="00CA36AB"/>
    <w:rsid w:val="00CA4F59"/>
    <w:rsid w:val="00CA6537"/>
    <w:rsid w:val="00CA7245"/>
    <w:rsid w:val="00CB0C4A"/>
    <w:rsid w:val="00CC04C5"/>
    <w:rsid w:val="00CC4728"/>
    <w:rsid w:val="00CD00E8"/>
    <w:rsid w:val="00D019A8"/>
    <w:rsid w:val="00D02E30"/>
    <w:rsid w:val="00D03D31"/>
    <w:rsid w:val="00D169EF"/>
    <w:rsid w:val="00D16CCA"/>
    <w:rsid w:val="00D214AC"/>
    <w:rsid w:val="00D32118"/>
    <w:rsid w:val="00D3582D"/>
    <w:rsid w:val="00D36C90"/>
    <w:rsid w:val="00D41BE7"/>
    <w:rsid w:val="00D4587C"/>
    <w:rsid w:val="00D46DDB"/>
    <w:rsid w:val="00D651BF"/>
    <w:rsid w:val="00D668CE"/>
    <w:rsid w:val="00D73FF0"/>
    <w:rsid w:val="00D81FBB"/>
    <w:rsid w:val="00D8307D"/>
    <w:rsid w:val="00D936F9"/>
    <w:rsid w:val="00D95706"/>
    <w:rsid w:val="00DA3CDC"/>
    <w:rsid w:val="00DA5870"/>
    <w:rsid w:val="00DC6057"/>
    <w:rsid w:val="00DD0923"/>
    <w:rsid w:val="00DD161B"/>
    <w:rsid w:val="00DD2E8E"/>
    <w:rsid w:val="00DD7AA0"/>
    <w:rsid w:val="00DE4583"/>
    <w:rsid w:val="00E01018"/>
    <w:rsid w:val="00E17AC8"/>
    <w:rsid w:val="00E258DC"/>
    <w:rsid w:val="00E3182D"/>
    <w:rsid w:val="00E31E55"/>
    <w:rsid w:val="00E3285C"/>
    <w:rsid w:val="00E35D9C"/>
    <w:rsid w:val="00E379A2"/>
    <w:rsid w:val="00E40FEE"/>
    <w:rsid w:val="00E44289"/>
    <w:rsid w:val="00E44A9C"/>
    <w:rsid w:val="00E44C2B"/>
    <w:rsid w:val="00E60932"/>
    <w:rsid w:val="00E65E96"/>
    <w:rsid w:val="00E72D35"/>
    <w:rsid w:val="00E76381"/>
    <w:rsid w:val="00E76829"/>
    <w:rsid w:val="00E85450"/>
    <w:rsid w:val="00E87F9C"/>
    <w:rsid w:val="00E92343"/>
    <w:rsid w:val="00E976C8"/>
    <w:rsid w:val="00E97BB1"/>
    <w:rsid w:val="00EA189C"/>
    <w:rsid w:val="00EA3B16"/>
    <w:rsid w:val="00EB2AC1"/>
    <w:rsid w:val="00EB42FC"/>
    <w:rsid w:val="00EB7FAC"/>
    <w:rsid w:val="00EC0A64"/>
    <w:rsid w:val="00ED6536"/>
    <w:rsid w:val="00EE721B"/>
    <w:rsid w:val="00EF265C"/>
    <w:rsid w:val="00EF6C49"/>
    <w:rsid w:val="00F178A5"/>
    <w:rsid w:val="00F26CAF"/>
    <w:rsid w:val="00F328DB"/>
    <w:rsid w:val="00F32AB7"/>
    <w:rsid w:val="00F437B7"/>
    <w:rsid w:val="00F458E1"/>
    <w:rsid w:val="00F46960"/>
    <w:rsid w:val="00F557AD"/>
    <w:rsid w:val="00F641C1"/>
    <w:rsid w:val="00F6490D"/>
    <w:rsid w:val="00F65E67"/>
    <w:rsid w:val="00F72835"/>
    <w:rsid w:val="00F847E5"/>
    <w:rsid w:val="00F84A1A"/>
    <w:rsid w:val="00F93AB5"/>
    <w:rsid w:val="00F96037"/>
    <w:rsid w:val="00FA078A"/>
    <w:rsid w:val="00FA209A"/>
    <w:rsid w:val="00FA5869"/>
    <w:rsid w:val="00FB0D93"/>
    <w:rsid w:val="00FB6F07"/>
    <w:rsid w:val="00FC11E2"/>
    <w:rsid w:val="00FD34FF"/>
    <w:rsid w:val="00FE06C0"/>
    <w:rsid w:val="00FF66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69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9D"/>
    <w:pPr>
      <w:widowControl w:val="0"/>
      <w:adjustRightInd w:val="0"/>
      <w:spacing w:after="130" w:line="260" w:lineRule="atLeast"/>
      <w:jc w:val="both"/>
      <w:textAlignment w:val="baseline"/>
    </w:pPr>
    <w:rPr>
      <w:rFonts w:eastAsia="PMingLiU"/>
      <w:bCs/>
      <w:sz w:val="18"/>
      <w:szCs w:val="24"/>
      <w:lang w:eastAsia="zh-TW"/>
    </w:rPr>
  </w:style>
  <w:style w:type="paragraph" w:styleId="Titre1">
    <w:name w:val="heading 1"/>
    <w:basedOn w:val="Normal"/>
    <w:next w:val="Normal"/>
    <w:link w:val="Titre1Car"/>
    <w:qFormat/>
    <w:rsid w:val="00351368"/>
    <w:pPr>
      <w:keepNext/>
      <w:pageBreakBefore/>
      <w:numPr>
        <w:numId w:val="11"/>
      </w:numPr>
      <w:tabs>
        <w:tab w:val="left" w:pos="425"/>
      </w:tabs>
      <w:spacing w:before="510" w:after="113" w:line="380" w:lineRule="atLeast"/>
      <w:contextualSpacing/>
      <w:outlineLvl w:val="0"/>
    </w:pPr>
    <w:rPr>
      <w:rFonts w:eastAsia="Times New Roman"/>
      <w:bCs w:val="0"/>
      <w:kern w:val="32"/>
      <w:sz w:val="30"/>
      <w:szCs w:val="28"/>
    </w:rPr>
  </w:style>
  <w:style w:type="paragraph" w:styleId="Titre2">
    <w:name w:val="heading 2"/>
    <w:basedOn w:val="Normal"/>
    <w:next w:val="Normal"/>
    <w:link w:val="Titre2Car"/>
    <w:qFormat/>
    <w:rsid w:val="004C057B"/>
    <w:pPr>
      <w:keepNext/>
      <w:numPr>
        <w:ilvl w:val="1"/>
        <w:numId w:val="11"/>
      </w:numPr>
      <w:tabs>
        <w:tab w:val="clear" w:pos="1135"/>
        <w:tab w:val="num" w:pos="851"/>
      </w:tabs>
      <w:spacing w:before="227" w:after="20" w:line="288" w:lineRule="atLeast"/>
      <w:ind w:left="851"/>
      <w:outlineLvl w:val="1"/>
    </w:pPr>
    <w:rPr>
      <w:rFonts w:eastAsia="Times New Roman"/>
      <w:bCs w:val="0"/>
      <w:sz w:val="24"/>
      <w:szCs w:val="26"/>
      <w:lang w:val="fr-FR"/>
    </w:rPr>
  </w:style>
  <w:style w:type="paragraph" w:styleId="Titre3">
    <w:name w:val="heading 3"/>
    <w:basedOn w:val="Normal"/>
    <w:next w:val="Normal"/>
    <w:link w:val="Titre3Car"/>
    <w:qFormat/>
    <w:rsid w:val="00751832"/>
    <w:pPr>
      <w:keepNext/>
      <w:numPr>
        <w:ilvl w:val="2"/>
        <w:numId w:val="11"/>
      </w:numPr>
      <w:tabs>
        <w:tab w:val="left" w:pos="-1622"/>
      </w:tabs>
      <w:spacing w:before="240" w:after="60"/>
      <w:outlineLvl w:val="2"/>
    </w:pPr>
    <w:rPr>
      <w:rFonts w:eastAsia="Times New Roman"/>
      <w:bCs w:val="0"/>
      <w:sz w:val="20"/>
    </w:rPr>
  </w:style>
  <w:style w:type="paragraph" w:styleId="Titre4">
    <w:name w:val="heading 4"/>
    <w:basedOn w:val="Normal"/>
    <w:next w:val="Normal"/>
    <w:link w:val="Titre4Car"/>
    <w:qFormat/>
    <w:rsid w:val="00FA078A"/>
    <w:pPr>
      <w:numPr>
        <w:ilvl w:val="3"/>
        <w:numId w:val="11"/>
      </w:numPr>
      <w:spacing w:before="200" w:after="0"/>
      <w:outlineLvl w:val="3"/>
    </w:pPr>
    <w:rPr>
      <w:rFonts w:ascii="Cambria" w:eastAsia="Times New Roman" w:hAnsi="Cambria"/>
      <w:b/>
      <w:i/>
      <w:iCs/>
    </w:rPr>
  </w:style>
  <w:style w:type="paragraph" w:styleId="Titre5">
    <w:name w:val="heading 5"/>
    <w:basedOn w:val="Normal"/>
    <w:next w:val="Normal"/>
    <w:link w:val="Titre5Car"/>
    <w:qFormat/>
    <w:rsid w:val="00FA078A"/>
    <w:pPr>
      <w:numPr>
        <w:ilvl w:val="4"/>
        <w:numId w:val="11"/>
      </w:numPr>
      <w:spacing w:before="200" w:after="0"/>
      <w:outlineLvl w:val="4"/>
    </w:pPr>
    <w:rPr>
      <w:rFonts w:ascii="Cambria" w:eastAsia="Times New Roman" w:hAnsi="Cambria"/>
      <w:b/>
      <w:color w:val="7F7F7F"/>
    </w:rPr>
  </w:style>
  <w:style w:type="paragraph" w:styleId="Titre6">
    <w:name w:val="heading 6"/>
    <w:basedOn w:val="Normal"/>
    <w:next w:val="Normal"/>
    <w:link w:val="Titre6Car"/>
    <w:uiPriority w:val="9"/>
    <w:qFormat/>
    <w:rsid w:val="00FA078A"/>
    <w:pPr>
      <w:numPr>
        <w:ilvl w:val="5"/>
        <w:numId w:val="11"/>
      </w:numPr>
      <w:spacing w:after="0" w:line="271" w:lineRule="auto"/>
      <w:outlineLvl w:val="5"/>
    </w:pPr>
    <w:rPr>
      <w:rFonts w:ascii="Cambria" w:eastAsia="Times New Roman" w:hAnsi="Cambria"/>
      <w:b/>
      <w:i/>
      <w:iCs/>
      <w:color w:val="7F7F7F"/>
    </w:rPr>
  </w:style>
  <w:style w:type="paragraph" w:styleId="Titre7">
    <w:name w:val="heading 7"/>
    <w:basedOn w:val="Normal"/>
    <w:next w:val="Normal"/>
    <w:link w:val="Titre7Car"/>
    <w:uiPriority w:val="9"/>
    <w:qFormat/>
    <w:rsid w:val="00FA078A"/>
    <w:pPr>
      <w:numPr>
        <w:ilvl w:val="6"/>
        <w:numId w:val="11"/>
      </w:numPr>
      <w:spacing w:after="0"/>
      <w:outlineLvl w:val="6"/>
    </w:pPr>
    <w:rPr>
      <w:rFonts w:ascii="Cambria" w:eastAsia="Times New Roman" w:hAnsi="Cambria"/>
      <w:i/>
      <w:iCs/>
    </w:rPr>
  </w:style>
  <w:style w:type="paragraph" w:styleId="Titre8">
    <w:name w:val="heading 8"/>
    <w:basedOn w:val="Normal"/>
    <w:next w:val="Normal"/>
    <w:link w:val="Titre8Car"/>
    <w:uiPriority w:val="9"/>
    <w:qFormat/>
    <w:rsid w:val="00FA078A"/>
    <w:pPr>
      <w:numPr>
        <w:ilvl w:val="7"/>
        <w:numId w:val="11"/>
      </w:numPr>
      <w:spacing w:after="0"/>
      <w:outlineLvl w:val="7"/>
    </w:pPr>
    <w:rPr>
      <w:rFonts w:ascii="Cambria" w:eastAsia="Times New Roman" w:hAnsi="Cambria"/>
      <w:sz w:val="20"/>
      <w:szCs w:val="20"/>
    </w:rPr>
  </w:style>
  <w:style w:type="paragraph" w:styleId="Titre9">
    <w:name w:val="heading 9"/>
    <w:basedOn w:val="Normal"/>
    <w:next w:val="Normal"/>
    <w:link w:val="Titre9Car"/>
    <w:uiPriority w:val="9"/>
    <w:qFormat/>
    <w:rsid w:val="00FA078A"/>
    <w:pPr>
      <w:numPr>
        <w:ilvl w:val="8"/>
        <w:numId w:val="11"/>
      </w:numPr>
      <w:spacing w:after="0"/>
      <w:outlineLvl w:val="8"/>
    </w:pPr>
    <w:rPr>
      <w:rFonts w:ascii="Cambria" w:eastAsia="Times New Roman"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1368"/>
    <w:rPr>
      <w:rFonts w:eastAsia="Times New Roman"/>
      <w:kern w:val="32"/>
      <w:sz w:val="30"/>
      <w:szCs w:val="28"/>
      <w:lang w:eastAsia="zh-TW"/>
    </w:rPr>
  </w:style>
  <w:style w:type="character" w:customStyle="1" w:styleId="Titre2Car">
    <w:name w:val="Titre 2 Car"/>
    <w:basedOn w:val="Policepardfaut"/>
    <w:link w:val="Titre2"/>
    <w:rsid w:val="004C057B"/>
    <w:rPr>
      <w:rFonts w:eastAsia="Times New Roman"/>
      <w:sz w:val="24"/>
      <w:szCs w:val="26"/>
      <w:lang w:val="fr-FR" w:eastAsia="zh-TW"/>
    </w:rPr>
  </w:style>
  <w:style w:type="character" w:customStyle="1" w:styleId="Titre3Car">
    <w:name w:val="Titre 3 Car"/>
    <w:basedOn w:val="Policepardfaut"/>
    <w:link w:val="Titre3"/>
    <w:rsid w:val="00751832"/>
    <w:rPr>
      <w:rFonts w:eastAsia="Times New Roman"/>
      <w:szCs w:val="24"/>
      <w:lang w:eastAsia="zh-TW"/>
    </w:rPr>
  </w:style>
  <w:style w:type="character" w:customStyle="1" w:styleId="Titre4Car">
    <w:name w:val="Titre 4 Car"/>
    <w:basedOn w:val="Policepardfaut"/>
    <w:link w:val="Titre4"/>
    <w:rsid w:val="00FA078A"/>
    <w:rPr>
      <w:rFonts w:ascii="Cambria" w:eastAsia="Times New Roman" w:hAnsi="Cambria"/>
      <w:b/>
      <w:bCs/>
      <w:i/>
      <w:iCs/>
      <w:sz w:val="18"/>
      <w:szCs w:val="24"/>
      <w:lang w:val="nl-BE" w:eastAsia="zh-TW"/>
    </w:rPr>
  </w:style>
  <w:style w:type="character" w:customStyle="1" w:styleId="Titre5Car">
    <w:name w:val="Titre 5 Car"/>
    <w:basedOn w:val="Policepardfaut"/>
    <w:link w:val="Titre5"/>
    <w:rsid w:val="00FA078A"/>
    <w:rPr>
      <w:rFonts w:ascii="Cambria" w:eastAsia="Times New Roman" w:hAnsi="Cambria"/>
      <w:b/>
      <w:bCs/>
      <w:color w:val="7F7F7F"/>
      <w:sz w:val="18"/>
      <w:szCs w:val="24"/>
      <w:lang w:val="nl-BE" w:eastAsia="zh-TW"/>
    </w:rPr>
  </w:style>
  <w:style w:type="character" w:customStyle="1" w:styleId="Titre6Car">
    <w:name w:val="Titre 6 Car"/>
    <w:basedOn w:val="Policepardfaut"/>
    <w:link w:val="Titre6"/>
    <w:uiPriority w:val="9"/>
    <w:semiHidden/>
    <w:rsid w:val="00FA078A"/>
    <w:rPr>
      <w:rFonts w:ascii="Cambria" w:eastAsia="Times New Roman" w:hAnsi="Cambria"/>
      <w:b/>
      <w:bCs/>
      <w:i/>
      <w:iCs/>
      <w:color w:val="7F7F7F"/>
      <w:sz w:val="18"/>
      <w:szCs w:val="24"/>
      <w:lang w:val="nl-BE" w:eastAsia="zh-TW"/>
    </w:rPr>
  </w:style>
  <w:style w:type="character" w:customStyle="1" w:styleId="Titre7Car">
    <w:name w:val="Titre 7 Car"/>
    <w:basedOn w:val="Policepardfaut"/>
    <w:link w:val="Titre7"/>
    <w:uiPriority w:val="9"/>
    <w:semiHidden/>
    <w:rsid w:val="00FA078A"/>
    <w:rPr>
      <w:rFonts w:ascii="Cambria" w:eastAsia="Times New Roman" w:hAnsi="Cambria"/>
      <w:i/>
      <w:iCs/>
      <w:sz w:val="18"/>
      <w:szCs w:val="24"/>
      <w:lang w:val="nl-BE" w:eastAsia="zh-TW"/>
    </w:rPr>
  </w:style>
  <w:style w:type="character" w:customStyle="1" w:styleId="Titre8Car">
    <w:name w:val="Titre 8 Car"/>
    <w:basedOn w:val="Policepardfaut"/>
    <w:link w:val="Titre8"/>
    <w:uiPriority w:val="9"/>
    <w:semiHidden/>
    <w:rsid w:val="00FA078A"/>
    <w:rPr>
      <w:rFonts w:ascii="Cambria" w:eastAsia="Times New Roman" w:hAnsi="Cambria"/>
      <w:lang w:val="nl-BE" w:eastAsia="zh-TW"/>
    </w:rPr>
  </w:style>
  <w:style w:type="character" w:customStyle="1" w:styleId="Titre9Car">
    <w:name w:val="Titre 9 Car"/>
    <w:basedOn w:val="Policepardfaut"/>
    <w:link w:val="Titre9"/>
    <w:uiPriority w:val="9"/>
    <w:semiHidden/>
    <w:rsid w:val="00FA078A"/>
    <w:rPr>
      <w:rFonts w:ascii="Cambria" w:eastAsia="Times New Roman" w:hAnsi="Cambria"/>
      <w:i/>
      <w:iCs/>
      <w:spacing w:val="5"/>
      <w:lang w:val="nl-BE" w:eastAsia="zh-TW"/>
    </w:rPr>
  </w:style>
  <w:style w:type="paragraph" w:styleId="Titre">
    <w:name w:val="Title"/>
    <w:basedOn w:val="Normal"/>
    <w:next w:val="Normal"/>
    <w:link w:val="TitreCar"/>
    <w:uiPriority w:val="10"/>
    <w:qFormat/>
    <w:rsid w:val="00FA078A"/>
    <w:pPr>
      <w:pBdr>
        <w:bottom w:val="single" w:sz="4" w:space="1" w:color="auto"/>
      </w:pBdr>
      <w:contextualSpacing/>
    </w:pPr>
    <w:rPr>
      <w:rFonts w:ascii="Cambria" w:eastAsia="Times New Roman" w:hAnsi="Cambria"/>
      <w:spacing w:val="5"/>
      <w:sz w:val="52"/>
      <w:szCs w:val="52"/>
    </w:rPr>
  </w:style>
  <w:style w:type="character" w:customStyle="1" w:styleId="TitreCar">
    <w:name w:val="Titre Car"/>
    <w:basedOn w:val="Policepardfaut"/>
    <w:link w:val="Titre"/>
    <w:uiPriority w:val="10"/>
    <w:rsid w:val="00FA078A"/>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FA078A"/>
    <w:pPr>
      <w:spacing w:after="600"/>
    </w:pPr>
    <w:rPr>
      <w:rFonts w:ascii="Cambria" w:eastAsia="Times New Roman" w:hAnsi="Cambria"/>
      <w:i/>
      <w:iCs/>
      <w:spacing w:val="13"/>
      <w:sz w:val="24"/>
    </w:rPr>
  </w:style>
  <w:style w:type="character" w:customStyle="1" w:styleId="Sous-titreCar">
    <w:name w:val="Sous-titre Car"/>
    <w:basedOn w:val="Policepardfaut"/>
    <w:link w:val="Sous-titre"/>
    <w:uiPriority w:val="11"/>
    <w:rsid w:val="00FA078A"/>
    <w:rPr>
      <w:rFonts w:ascii="Cambria" w:eastAsia="Times New Roman" w:hAnsi="Cambria" w:cs="Times New Roman"/>
      <w:i/>
      <w:iCs/>
      <w:spacing w:val="13"/>
      <w:sz w:val="24"/>
      <w:szCs w:val="24"/>
    </w:rPr>
  </w:style>
  <w:style w:type="character" w:styleId="lev">
    <w:name w:val="Strong"/>
    <w:uiPriority w:val="22"/>
    <w:qFormat/>
    <w:rsid w:val="00FA078A"/>
    <w:rPr>
      <w:b/>
      <w:bCs/>
    </w:rPr>
  </w:style>
  <w:style w:type="character" w:styleId="Accentuation">
    <w:name w:val="Emphasis"/>
    <w:uiPriority w:val="20"/>
    <w:qFormat/>
    <w:rsid w:val="00FA078A"/>
    <w:rPr>
      <w:b/>
      <w:bCs/>
      <w:i/>
      <w:iCs/>
      <w:spacing w:val="10"/>
      <w:bdr w:val="none" w:sz="0" w:space="0" w:color="auto"/>
      <w:shd w:val="clear" w:color="auto" w:fill="auto"/>
    </w:rPr>
  </w:style>
  <w:style w:type="paragraph" w:customStyle="1" w:styleId="Sansinterligne1">
    <w:name w:val="Sans interligne1"/>
    <w:basedOn w:val="Normal"/>
    <w:uiPriority w:val="1"/>
    <w:qFormat/>
    <w:rsid w:val="00FA078A"/>
    <w:pPr>
      <w:spacing w:after="0"/>
    </w:pPr>
  </w:style>
  <w:style w:type="paragraph" w:customStyle="1" w:styleId="Paragraphedeliste1">
    <w:name w:val="Paragraphe de liste1"/>
    <w:basedOn w:val="Normal"/>
    <w:uiPriority w:val="34"/>
    <w:qFormat/>
    <w:rsid w:val="00FA078A"/>
    <w:pPr>
      <w:ind w:left="720"/>
      <w:contextualSpacing/>
    </w:pPr>
  </w:style>
  <w:style w:type="paragraph" w:customStyle="1" w:styleId="Citation1">
    <w:name w:val="Citation1"/>
    <w:basedOn w:val="Normal"/>
    <w:next w:val="Normal"/>
    <w:link w:val="CitationCar"/>
    <w:uiPriority w:val="29"/>
    <w:qFormat/>
    <w:rsid w:val="00FA078A"/>
    <w:pPr>
      <w:spacing w:before="200" w:after="0"/>
      <w:ind w:left="360" w:right="360"/>
    </w:pPr>
    <w:rPr>
      <w:i/>
      <w:iCs/>
    </w:rPr>
  </w:style>
  <w:style w:type="character" w:customStyle="1" w:styleId="CitationCar">
    <w:name w:val="Citation Car"/>
    <w:basedOn w:val="Policepardfaut"/>
    <w:link w:val="Citation1"/>
    <w:uiPriority w:val="29"/>
    <w:rsid w:val="00FA078A"/>
    <w:rPr>
      <w:i/>
      <w:iCs/>
    </w:rPr>
  </w:style>
  <w:style w:type="paragraph" w:customStyle="1" w:styleId="Citationintense1">
    <w:name w:val="Citation intense1"/>
    <w:basedOn w:val="Normal"/>
    <w:next w:val="Normal"/>
    <w:link w:val="CitationintenseCar"/>
    <w:uiPriority w:val="30"/>
    <w:qFormat/>
    <w:rsid w:val="00FA078A"/>
    <w:pPr>
      <w:pBdr>
        <w:bottom w:val="single" w:sz="4" w:space="1" w:color="auto"/>
      </w:pBdr>
      <w:spacing w:before="200" w:after="280"/>
      <w:ind w:left="1008" w:right="1152"/>
    </w:pPr>
    <w:rPr>
      <w:b/>
      <w:i/>
      <w:iCs/>
    </w:rPr>
  </w:style>
  <w:style w:type="character" w:customStyle="1" w:styleId="CitationintenseCar">
    <w:name w:val="Citation intense Car"/>
    <w:basedOn w:val="Policepardfaut"/>
    <w:link w:val="Citationintense1"/>
    <w:uiPriority w:val="30"/>
    <w:rsid w:val="00FA078A"/>
    <w:rPr>
      <w:b/>
      <w:bCs/>
      <w:i/>
      <w:iCs/>
    </w:rPr>
  </w:style>
  <w:style w:type="character" w:customStyle="1" w:styleId="Emphaseple1">
    <w:name w:val="Emphase pâle1"/>
    <w:uiPriority w:val="19"/>
    <w:qFormat/>
    <w:rsid w:val="00FA078A"/>
    <w:rPr>
      <w:i/>
      <w:iCs/>
    </w:rPr>
  </w:style>
  <w:style w:type="character" w:customStyle="1" w:styleId="Emphaseintense1">
    <w:name w:val="Emphase intense1"/>
    <w:uiPriority w:val="21"/>
    <w:qFormat/>
    <w:rsid w:val="00FA078A"/>
    <w:rPr>
      <w:b/>
      <w:bCs/>
    </w:rPr>
  </w:style>
  <w:style w:type="character" w:customStyle="1" w:styleId="Rfrenceple1">
    <w:name w:val="Référence pâle1"/>
    <w:uiPriority w:val="31"/>
    <w:qFormat/>
    <w:rsid w:val="00FA078A"/>
    <w:rPr>
      <w:smallCaps/>
    </w:rPr>
  </w:style>
  <w:style w:type="character" w:customStyle="1" w:styleId="Rfrenceintense1">
    <w:name w:val="Référence intense1"/>
    <w:uiPriority w:val="32"/>
    <w:qFormat/>
    <w:rsid w:val="00FA078A"/>
    <w:rPr>
      <w:smallCaps/>
      <w:spacing w:val="5"/>
      <w:u w:val="single"/>
    </w:rPr>
  </w:style>
  <w:style w:type="character" w:customStyle="1" w:styleId="Titredulivre1">
    <w:name w:val="Titre du livre1"/>
    <w:uiPriority w:val="33"/>
    <w:qFormat/>
    <w:rsid w:val="00FA078A"/>
    <w:rPr>
      <w:i/>
      <w:iCs/>
      <w:smallCaps/>
      <w:spacing w:val="5"/>
    </w:rPr>
  </w:style>
  <w:style w:type="paragraph" w:customStyle="1" w:styleId="En-ttedetabledesmatires1">
    <w:name w:val="En-tête de table des matières1"/>
    <w:basedOn w:val="Titre1"/>
    <w:next w:val="Normal"/>
    <w:uiPriority w:val="39"/>
    <w:semiHidden/>
    <w:unhideWhenUsed/>
    <w:qFormat/>
    <w:rsid w:val="00FA078A"/>
    <w:pPr>
      <w:outlineLvl w:val="9"/>
    </w:pPr>
  </w:style>
  <w:style w:type="paragraph" w:styleId="En-tte">
    <w:name w:val="header"/>
    <w:basedOn w:val="Normal"/>
    <w:link w:val="En-tteCar"/>
    <w:rsid w:val="00BC309D"/>
    <w:pPr>
      <w:tabs>
        <w:tab w:val="center" w:pos="4153"/>
        <w:tab w:val="right" w:pos="8306"/>
      </w:tabs>
      <w:spacing w:after="0" w:line="240" w:lineRule="atLeast"/>
    </w:pPr>
    <w:rPr>
      <w:sz w:val="16"/>
    </w:rPr>
  </w:style>
  <w:style w:type="character" w:customStyle="1" w:styleId="En-tteCar">
    <w:name w:val="En-tête Car"/>
    <w:basedOn w:val="Policepardfaut"/>
    <w:link w:val="En-tte"/>
    <w:rsid w:val="00BC309D"/>
    <w:rPr>
      <w:rFonts w:ascii="Verdana" w:eastAsia="PMingLiU" w:hAnsi="Verdana" w:cs="Times New Roman"/>
      <w:sz w:val="16"/>
      <w:szCs w:val="24"/>
      <w:lang w:val="nl-BE" w:eastAsia="zh-TW" w:bidi="ar-SA"/>
    </w:rPr>
  </w:style>
  <w:style w:type="character" w:styleId="Numrodepage">
    <w:name w:val="page number"/>
    <w:basedOn w:val="Policepardfaut"/>
    <w:rsid w:val="00BC309D"/>
    <w:rPr>
      <w:rFonts w:ascii="Verdana" w:hAnsi="Verdana"/>
      <w:sz w:val="16"/>
    </w:rPr>
  </w:style>
  <w:style w:type="character" w:styleId="Appelnotedebasdep">
    <w:name w:val="footnote reference"/>
    <w:basedOn w:val="Policepardfaut"/>
    <w:semiHidden/>
    <w:rsid w:val="00BC309D"/>
    <w:rPr>
      <w:rFonts w:ascii="Verdana" w:hAnsi="Verdana"/>
      <w:vertAlign w:val="superscript"/>
    </w:rPr>
  </w:style>
  <w:style w:type="paragraph" w:styleId="Listepuces">
    <w:name w:val="List Bullet"/>
    <w:basedOn w:val="Normal"/>
    <w:rsid w:val="00BC309D"/>
    <w:pPr>
      <w:numPr>
        <w:numId w:val="1"/>
      </w:numPr>
      <w:spacing w:after="0"/>
    </w:pPr>
    <w:rPr>
      <w:lang w:val="fr-FR"/>
    </w:rPr>
  </w:style>
  <w:style w:type="paragraph" w:styleId="Listepuces2">
    <w:name w:val="List Bullet 2"/>
    <w:basedOn w:val="Normal"/>
    <w:rsid w:val="00BC309D"/>
    <w:pPr>
      <w:numPr>
        <w:ilvl w:val="1"/>
        <w:numId w:val="1"/>
      </w:numPr>
      <w:tabs>
        <w:tab w:val="clear" w:pos="559"/>
      </w:tabs>
      <w:spacing w:after="0"/>
      <w:ind w:left="426" w:hanging="227"/>
    </w:pPr>
    <w:rPr>
      <w:lang w:val="en-GB"/>
    </w:rPr>
  </w:style>
  <w:style w:type="paragraph" w:styleId="Listepuces3">
    <w:name w:val="List Bullet 3"/>
    <w:basedOn w:val="Normal"/>
    <w:rsid w:val="00BC309D"/>
    <w:pPr>
      <w:numPr>
        <w:ilvl w:val="2"/>
        <w:numId w:val="1"/>
      </w:numPr>
      <w:tabs>
        <w:tab w:val="clear" w:pos="785"/>
      </w:tabs>
      <w:spacing w:after="0"/>
    </w:pPr>
    <w:rPr>
      <w:lang w:val="en-GB"/>
    </w:rPr>
  </w:style>
  <w:style w:type="paragraph" w:styleId="Pieddepage">
    <w:name w:val="footer"/>
    <w:basedOn w:val="Normal"/>
    <w:link w:val="PieddepageCar"/>
    <w:uiPriority w:val="99"/>
    <w:rsid w:val="00BC309D"/>
    <w:pPr>
      <w:tabs>
        <w:tab w:val="center" w:pos="4153"/>
        <w:tab w:val="right" w:pos="8306"/>
      </w:tabs>
      <w:spacing w:after="0" w:line="240" w:lineRule="atLeast"/>
    </w:pPr>
    <w:rPr>
      <w:sz w:val="16"/>
    </w:rPr>
  </w:style>
  <w:style w:type="character" w:customStyle="1" w:styleId="PieddepageCar">
    <w:name w:val="Pied de page Car"/>
    <w:basedOn w:val="Policepardfaut"/>
    <w:link w:val="Pieddepage"/>
    <w:uiPriority w:val="99"/>
    <w:rsid w:val="00BC309D"/>
    <w:rPr>
      <w:rFonts w:ascii="Verdana" w:eastAsia="PMingLiU" w:hAnsi="Verdana" w:cs="Times New Roman"/>
      <w:sz w:val="16"/>
      <w:szCs w:val="24"/>
      <w:lang w:val="nl-BE" w:eastAsia="zh-TW" w:bidi="ar-SA"/>
    </w:rPr>
  </w:style>
  <w:style w:type="paragraph" w:styleId="Notedebasdepage">
    <w:name w:val="footnote text"/>
    <w:basedOn w:val="Normal"/>
    <w:link w:val="NotedebasdepageCar"/>
    <w:semiHidden/>
    <w:rsid w:val="00BC309D"/>
    <w:pPr>
      <w:spacing w:after="0" w:line="240" w:lineRule="atLeast"/>
    </w:pPr>
    <w:rPr>
      <w:sz w:val="16"/>
      <w:szCs w:val="20"/>
    </w:rPr>
  </w:style>
  <w:style w:type="character" w:customStyle="1" w:styleId="NotedebasdepageCar">
    <w:name w:val="Note de bas de page Car"/>
    <w:basedOn w:val="Policepardfaut"/>
    <w:link w:val="Notedebasdepage"/>
    <w:semiHidden/>
    <w:rsid w:val="00BC309D"/>
    <w:rPr>
      <w:rFonts w:ascii="Verdana" w:eastAsia="PMingLiU" w:hAnsi="Verdana" w:cs="Times New Roman"/>
      <w:sz w:val="16"/>
      <w:szCs w:val="20"/>
      <w:lang w:val="nl-BE" w:eastAsia="zh-TW" w:bidi="ar-SA"/>
    </w:rPr>
  </w:style>
  <w:style w:type="paragraph" w:styleId="Listenumros">
    <w:name w:val="List Number"/>
    <w:basedOn w:val="Normal"/>
    <w:rsid w:val="00BC309D"/>
    <w:pPr>
      <w:numPr>
        <w:numId w:val="2"/>
      </w:numPr>
      <w:spacing w:after="0"/>
    </w:pPr>
  </w:style>
  <w:style w:type="paragraph" w:styleId="Listenumros2">
    <w:name w:val="List Number 2"/>
    <w:basedOn w:val="Normal"/>
    <w:rsid w:val="00BC309D"/>
    <w:pPr>
      <w:numPr>
        <w:ilvl w:val="1"/>
        <w:numId w:val="2"/>
      </w:numPr>
      <w:spacing w:after="0"/>
    </w:pPr>
  </w:style>
  <w:style w:type="paragraph" w:styleId="Listenumros3">
    <w:name w:val="List Number 3"/>
    <w:basedOn w:val="Normal"/>
    <w:rsid w:val="00BC309D"/>
    <w:pPr>
      <w:spacing w:after="0"/>
    </w:pPr>
  </w:style>
  <w:style w:type="character" w:customStyle="1" w:styleId="CarCar">
    <w:name w:val="Car Car"/>
    <w:basedOn w:val="Policepardfaut"/>
    <w:rsid w:val="00BC309D"/>
    <w:rPr>
      <w:rFonts w:ascii="Verdana" w:eastAsia="PMingLiU" w:hAnsi="Verdana" w:cs="Arial"/>
      <w:bCs/>
      <w:kern w:val="32"/>
      <w:sz w:val="32"/>
      <w:szCs w:val="32"/>
      <w:lang w:val="nl-BE" w:eastAsia="zh-TW" w:bidi="ar-SA"/>
    </w:rPr>
  </w:style>
  <w:style w:type="paragraph" w:styleId="Explorateurdedocuments">
    <w:name w:val="Document Map"/>
    <w:basedOn w:val="Normal"/>
    <w:link w:val="ExplorateurdedocumentsCar"/>
    <w:uiPriority w:val="99"/>
    <w:semiHidden/>
    <w:unhideWhenUsed/>
    <w:rsid w:val="004C057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C057B"/>
    <w:rPr>
      <w:rFonts w:ascii="Tahoma" w:eastAsia="PMingLiU" w:hAnsi="Tahoma" w:cs="Tahoma"/>
      <w:sz w:val="16"/>
      <w:szCs w:val="16"/>
      <w:lang w:val="nl-BE" w:eastAsia="zh-TW"/>
    </w:rPr>
  </w:style>
  <w:style w:type="paragraph" w:styleId="Textedebulles">
    <w:name w:val="Balloon Text"/>
    <w:basedOn w:val="Normal"/>
    <w:link w:val="TextedebullesCar"/>
    <w:uiPriority w:val="99"/>
    <w:semiHidden/>
    <w:unhideWhenUsed/>
    <w:rsid w:val="00015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02C"/>
    <w:rPr>
      <w:rFonts w:ascii="Tahoma" w:eastAsia="PMingLiU" w:hAnsi="Tahoma" w:cs="Tahoma"/>
      <w:bCs/>
      <w:sz w:val="16"/>
      <w:szCs w:val="16"/>
      <w:lang w:val="nl-BE" w:eastAsia="zh-TW"/>
    </w:rPr>
  </w:style>
  <w:style w:type="paragraph" w:styleId="TM1">
    <w:name w:val="toc 1"/>
    <w:basedOn w:val="Normal"/>
    <w:next w:val="Normal"/>
    <w:autoRedefine/>
    <w:uiPriority w:val="39"/>
    <w:unhideWhenUsed/>
    <w:rsid w:val="00ED6536"/>
    <w:pPr>
      <w:tabs>
        <w:tab w:val="left" w:pos="440"/>
        <w:tab w:val="right" w:leader="dot" w:pos="9060"/>
      </w:tabs>
      <w:ind w:left="426" w:hanging="426"/>
    </w:pPr>
    <w:rPr>
      <w:noProof/>
      <w:lang w:val="fr-FR"/>
    </w:rPr>
  </w:style>
  <w:style w:type="character" w:styleId="Lienhypertexte">
    <w:name w:val="Hyperlink"/>
    <w:basedOn w:val="Policepardfaut"/>
    <w:uiPriority w:val="99"/>
    <w:rsid w:val="00ED6536"/>
    <w:rPr>
      <w:color w:val="000000" w:themeColor="text1"/>
    </w:rPr>
  </w:style>
  <w:style w:type="character" w:styleId="Marquedecommentaire">
    <w:name w:val="annotation reference"/>
    <w:basedOn w:val="Policepardfaut"/>
    <w:unhideWhenUsed/>
    <w:rsid w:val="00295912"/>
    <w:rPr>
      <w:sz w:val="16"/>
      <w:szCs w:val="16"/>
    </w:rPr>
  </w:style>
  <w:style w:type="paragraph" w:styleId="Commentaire">
    <w:name w:val="annotation text"/>
    <w:basedOn w:val="Normal"/>
    <w:link w:val="CommentaireCar"/>
    <w:unhideWhenUsed/>
    <w:rsid w:val="00295912"/>
    <w:rPr>
      <w:sz w:val="20"/>
      <w:szCs w:val="20"/>
    </w:rPr>
  </w:style>
  <w:style w:type="character" w:customStyle="1" w:styleId="CommentaireCar">
    <w:name w:val="Commentaire Car"/>
    <w:basedOn w:val="Policepardfaut"/>
    <w:link w:val="Commentaire"/>
    <w:rsid w:val="00295912"/>
    <w:rPr>
      <w:rFonts w:eastAsia="PMingLiU"/>
      <w:bCs/>
      <w:lang w:val="nl-BE" w:eastAsia="zh-TW"/>
    </w:rPr>
  </w:style>
  <w:style w:type="paragraph" w:styleId="Objetducommentaire">
    <w:name w:val="annotation subject"/>
    <w:basedOn w:val="Commentaire"/>
    <w:next w:val="Commentaire"/>
    <w:link w:val="ObjetducommentaireCar"/>
    <w:uiPriority w:val="99"/>
    <w:semiHidden/>
    <w:unhideWhenUsed/>
    <w:rsid w:val="00295912"/>
    <w:rPr>
      <w:b/>
    </w:rPr>
  </w:style>
  <w:style w:type="character" w:customStyle="1" w:styleId="ObjetducommentaireCar">
    <w:name w:val="Objet du commentaire Car"/>
    <w:basedOn w:val="CommentaireCar"/>
    <w:link w:val="Objetducommentaire"/>
    <w:uiPriority w:val="99"/>
    <w:semiHidden/>
    <w:rsid w:val="00295912"/>
    <w:rPr>
      <w:rFonts w:eastAsia="PMingLiU"/>
      <w:b/>
      <w:bCs/>
      <w:lang w:val="nl-BE" w:eastAsia="zh-TW"/>
    </w:rPr>
  </w:style>
  <w:style w:type="paragraph" w:styleId="Rvision">
    <w:name w:val="Revision"/>
    <w:hidden/>
    <w:uiPriority w:val="99"/>
    <w:semiHidden/>
    <w:rsid w:val="00351368"/>
    <w:rPr>
      <w:rFonts w:eastAsia="PMingLiU"/>
      <w:bCs/>
      <w:sz w:val="18"/>
      <w:szCs w:val="24"/>
      <w:lang w:eastAsia="zh-TW"/>
    </w:rPr>
  </w:style>
  <w:style w:type="paragraph" w:styleId="En-ttedetabledesmatires">
    <w:name w:val="TOC Heading"/>
    <w:basedOn w:val="Titre1"/>
    <w:next w:val="Normal"/>
    <w:uiPriority w:val="39"/>
    <w:semiHidden/>
    <w:unhideWhenUsed/>
    <w:qFormat/>
    <w:rsid w:val="00EB42FC"/>
    <w:pPr>
      <w:keepLines/>
      <w:pageBreakBefore w:val="0"/>
      <w:widowControl/>
      <w:numPr>
        <w:numId w:val="0"/>
      </w:numPr>
      <w:tabs>
        <w:tab w:val="clear" w:pos="425"/>
      </w:tabs>
      <w:adjustRightInd/>
      <w:spacing w:before="480" w:after="0" w:line="276" w:lineRule="auto"/>
      <w:contextualSpacing w:val="0"/>
      <w:jc w:val="left"/>
      <w:textAlignment w:val="auto"/>
      <w:outlineLvl w:val="9"/>
    </w:pPr>
    <w:rPr>
      <w:rFonts w:asciiTheme="majorHAnsi" w:eastAsiaTheme="majorEastAsia" w:hAnsiTheme="majorHAnsi" w:cstheme="majorBidi"/>
      <w:b/>
      <w:bCs/>
      <w:color w:val="365F91" w:themeColor="accent1" w:themeShade="BF"/>
      <w:kern w:val="0"/>
      <w:sz w:val="28"/>
      <w:lang w:val="en-US" w:eastAsia="en-US"/>
    </w:rPr>
  </w:style>
  <w:style w:type="paragraph" w:styleId="TM2">
    <w:name w:val="toc 2"/>
    <w:basedOn w:val="Normal"/>
    <w:next w:val="Normal"/>
    <w:autoRedefine/>
    <w:uiPriority w:val="39"/>
    <w:unhideWhenUsed/>
    <w:rsid w:val="00EB42FC"/>
    <w:pPr>
      <w:spacing w:after="100"/>
      <w:ind w:left="180"/>
    </w:pPr>
  </w:style>
  <w:style w:type="paragraph" w:styleId="TM3">
    <w:name w:val="toc 3"/>
    <w:basedOn w:val="Normal"/>
    <w:next w:val="Normal"/>
    <w:autoRedefine/>
    <w:uiPriority w:val="39"/>
    <w:unhideWhenUsed/>
    <w:rsid w:val="00EB42FC"/>
    <w:pPr>
      <w:spacing w:after="100"/>
      <w:ind w:left="360"/>
    </w:pPr>
  </w:style>
  <w:style w:type="paragraph" w:styleId="Paragraphedeliste">
    <w:name w:val="List Paragraph"/>
    <w:basedOn w:val="Normal"/>
    <w:uiPriority w:val="34"/>
    <w:qFormat/>
    <w:rsid w:val="0080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ListId:Documents;" xsi:nil="true"/>
    <Commentaar xmlns="25e76b5c-7e29-42da-b61d-db8b88eb7453"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2C1C096C61898642B9E27B2F7E260A4E0075DE890F72FA8F4A8323D99B4015C490" ma:contentTypeVersion="4" ma:contentTypeDescription="" ma:contentTypeScope="" ma:versionID="326d59a84cecf6e1fe12272336f3bf10">
  <xsd:schema xmlns:xsd="http://www.w3.org/2001/XMLSchema" xmlns:xs="http://www.w3.org/2001/XMLSchema" xmlns:p="http://schemas.microsoft.com/office/2006/metadata/properties" xmlns:ns2="$ListId:Documents;" xmlns:ns3="25e76b5c-7e29-42da-b61d-db8b88eb7453" targetNamespace="http://schemas.microsoft.com/office/2006/metadata/properties" ma:root="true" ma:fieldsID="d5f920420b612ce97f06a041e18f1217" ns2:_="" ns3:_="">
    <xsd:import namespace="$ListId:Documents;"/>
    <xsd:import namespace="25e76b5c-7e29-42da-b61d-db8b88eb7453"/>
    <xsd:element name="properties">
      <xsd:complexType>
        <xsd:sequence>
          <xsd:element name="documentManagement">
            <xsd:complexType>
              <xsd:all>
                <xsd:element ref="ns2:Stage" minOccurs="0"/>
                <xsd:element ref="ns3: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Stage" ma:index="8" nillable="true" ma:displayName="Jaargang" ma:list="{D07E883A-01D0-4C01-BDE0-BB66E9C036CD}" ma:internalName="St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e76b5c-7e29-42da-b61d-db8b88eb7453" elementFormDefault="qualified">
    <xsd:import namespace="http://schemas.microsoft.com/office/2006/documentManagement/types"/>
    <xsd:import namespace="http://schemas.microsoft.com/office/infopath/2007/PartnerControls"/>
    <xsd:element name="Commentaar" ma:index="9" nillable="true" ma:displayName="Commentaar" ma:internalName="Commenta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FECC-2C23-42FA-8605-3799ECAE0A11}">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5e76b5c-7e29-42da-b61d-db8b88eb7453"/>
    <ds:schemaRef ds:uri="$ListId:Document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B0347F6-8141-4B62-8F5C-B08FE74C7941}">
  <ds:schemaRefs>
    <ds:schemaRef ds:uri="http://schemas.microsoft.com/office/2006/metadata/customXsn"/>
  </ds:schemaRefs>
</ds:datastoreItem>
</file>

<file path=customXml/itemProps3.xml><?xml version="1.0" encoding="utf-8"?>
<ds:datastoreItem xmlns:ds="http://schemas.openxmlformats.org/officeDocument/2006/customXml" ds:itemID="{E523D902-8DA1-4569-A700-D3B6B4EFF019}">
  <ds:schemaRefs>
    <ds:schemaRef ds:uri="http://schemas.microsoft.com/sharepoint/v3/contenttype/forms"/>
  </ds:schemaRefs>
</ds:datastoreItem>
</file>

<file path=customXml/itemProps4.xml><?xml version="1.0" encoding="utf-8"?>
<ds:datastoreItem xmlns:ds="http://schemas.openxmlformats.org/officeDocument/2006/customXml" ds:itemID="{92EC9FB9-6681-4908-BBE5-C872346E7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25e76b5c-7e29-42da-b61d-db8b88eb7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48F36A-F514-4C84-99BA-5AA7D9BB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4067</Words>
  <Characters>22373</Characters>
  <Application>Microsoft Office Word</Application>
  <DocSecurity>0</DocSecurity>
  <Lines>186</Lines>
  <Paragraphs>52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26388</CharactersWithSpaces>
  <SharedDoc>false</SharedDoc>
  <HLinks>
    <vt:vector size="102" baseType="variant">
      <vt:variant>
        <vt:i4>6422652</vt:i4>
      </vt:variant>
      <vt:variant>
        <vt:i4>99</vt:i4>
      </vt:variant>
      <vt:variant>
        <vt:i4>0</vt:i4>
      </vt:variant>
      <vt:variant>
        <vt:i4>5</vt:i4>
      </vt:variant>
      <vt:variant>
        <vt:lpwstr>http://www.profost.be/</vt:lpwstr>
      </vt:variant>
      <vt:variant>
        <vt:lpwstr/>
      </vt:variant>
      <vt:variant>
        <vt:i4>1769529</vt:i4>
      </vt:variant>
      <vt:variant>
        <vt:i4>92</vt:i4>
      </vt:variant>
      <vt:variant>
        <vt:i4>0</vt:i4>
      </vt:variant>
      <vt:variant>
        <vt:i4>5</vt:i4>
      </vt:variant>
      <vt:variant>
        <vt:lpwstr/>
      </vt:variant>
      <vt:variant>
        <vt:lpwstr>_Toc250981310</vt:lpwstr>
      </vt:variant>
      <vt:variant>
        <vt:i4>1703993</vt:i4>
      </vt:variant>
      <vt:variant>
        <vt:i4>86</vt:i4>
      </vt:variant>
      <vt:variant>
        <vt:i4>0</vt:i4>
      </vt:variant>
      <vt:variant>
        <vt:i4>5</vt:i4>
      </vt:variant>
      <vt:variant>
        <vt:lpwstr/>
      </vt:variant>
      <vt:variant>
        <vt:lpwstr>_Toc250981309</vt:lpwstr>
      </vt:variant>
      <vt:variant>
        <vt:i4>1703993</vt:i4>
      </vt:variant>
      <vt:variant>
        <vt:i4>80</vt:i4>
      </vt:variant>
      <vt:variant>
        <vt:i4>0</vt:i4>
      </vt:variant>
      <vt:variant>
        <vt:i4>5</vt:i4>
      </vt:variant>
      <vt:variant>
        <vt:lpwstr/>
      </vt:variant>
      <vt:variant>
        <vt:lpwstr>_Toc250981308</vt:lpwstr>
      </vt:variant>
      <vt:variant>
        <vt:i4>1703993</vt:i4>
      </vt:variant>
      <vt:variant>
        <vt:i4>74</vt:i4>
      </vt:variant>
      <vt:variant>
        <vt:i4>0</vt:i4>
      </vt:variant>
      <vt:variant>
        <vt:i4>5</vt:i4>
      </vt:variant>
      <vt:variant>
        <vt:lpwstr/>
      </vt:variant>
      <vt:variant>
        <vt:lpwstr>_Toc250981307</vt:lpwstr>
      </vt:variant>
      <vt:variant>
        <vt:i4>1703993</vt:i4>
      </vt:variant>
      <vt:variant>
        <vt:i4>68</vt:i4>
      </vt:variant>
      <vt:variant>
        <vt:i4>0</vt:i4>
      </vt:variant>
      <vt:variant>
        <vt:i4>5</vt:i4>
      </vt:variant>
      <vt:variant>
        <vt:lpwstr/>
      </vt:variant>
      <vt:variant>
        <vt:lpwstr>_Toc250981306</vt:lpwstr>
      </vt:variant>
      <vt:variant>
        <vt:i4>1703993</vt:i4>
      </vt:variant>
      <vt:variant>
        <vt:i4>62</vt:i4>
      </vt:variant>
      <vt:variant>
        <vt:i4>0</vt:i4>
      </vt:variant>
      <vt:variant>
        <vt:i4>5</vt:i4>
      </vt:variant>
      <vt:variant>
        <vt:lpwstr/>
      </vt:variant>
      <vt:variant>
        <vt:lpwstr>_Toc250981305</vt:lpwstr>
      </vt:variant>
      <vt:variant>
        <vt:i4>1703993</vt:i4>
      </vt:variant>
      <vt:variant>
        <vt:i4>56</vt:i4>
      </vt:variant>
      <vt:variant>
        <vt:i4>0</vt:i4>
      </vt:variant>
      <vt:variant>
        <vt:i4>5</vt:i4>
      </vt:variant>
      <vt:variant>
        <vt:lpwstr/>
      </vt:variant>
      <vt:variant>
        <vt:lpwstr>_Toc250981304</vt:lpwstr>
      </vt:variant>
      <vt:variant>
        <vt:i4>1703993</vt:i4>
      </vt:variant>
      <vt:variant>
        <vt:i4>50</vt:i4>
      </vt:variant>
      <vt:variant>
        <vt:i4>0</vt:i4>
      </vt:variant>
      <vt:variant>
        <vt:i4>5</vt:i4>
      </vt:variant>
      <vt:variant>
        <vt:lpwstr/>
      </vt:variant>
      <vt:variant>
        <vt:lpwstr>_Toc250981303</vt:lpwstr>
      </vt:variant>
      <vt:variant>
        <vt:i4>1703993</vt:i4>
      </vt:variant>
      <vt:variant>
        <vt:i4>44</vt:i4>
      </vt:variant>
      <vt:variant>
        <vt:i4>0</vt:i4>
      </vt:variant>
      <vt:variant>
        <vt:i4>5</vt:i4>
      </vt:variant>
      <vt:variant>
        <vt:lpwstr/>
      </vt:variant>
      <vt:variant>
        <vt:lpwstr>_Toc250981302</vt:lpwstr>
      </vt:variant>
      <vt:variant>
        <vt:i4>1703993</vt:i4>
      </vt:variant>
      <vt:variant>
        <vt:i4>38</vt:i4>
      </vt:variant>
      <vt:variant>
        <vt:i4>0</vt:i4>
      </vt:variant>
      <vt:variant>
        <vt:i4>5</vt:i4>
      </vt:variant>
      <vt:variant>
        <vt:lpwstr/>
      </vt:variant>
      <vt:variant>
        <vt:lpwstr>_Toc250981301</vt:lpwstr>
      </vt:variant>
      <vt:variant>
        <vt:i4>1703993</vt:i4>
      </vt:variant>
      <vt:variant>
        <vt:i4>32</vt:i4>
      </vt:variant>
      <vt:variant>
        <vt:i4>0</vt:i4>
      </vt:variant>
      <vt:variant>
        <vt:i4>5</vt:i4>
      </vt:variant>
      <vt:variant>
        <vt:lpwstr/>
      </vt:variant>
      <vt:variant>
        <vt:lpwstr>_Toc250981300</vt:lpwstr>
      </vt:variant>
      <vt:variant>
        <vt:i4>1245240</vt:i4>
      </vt:variant>
      <vt:variant>
        <vt:i4>26</vt:i4>
      </vt:variant>
      <vt:variant>
        <vt:i4>0</vt:i4>
      </vt:variant>
      <vt:variant>
        <vt:i4>5</vt:i4>
      </vt:variant>
      <vt:variant>
        <vt:lpwstr/>
      </vt:variant>
      <vt:variant>
        <vt:lpwstr>_Toc250981296</vt:lpwstr>
      </vt:variant>
      <vt:variant>
        <vt:i4>1245240</vt:i4>
      </vt:variant>
      <vt:variant>
        <vt:i4>20</vt:i4>
      </vt:variant>
      <vt:variant>
        <vt:i4>0</vt:i4>
      </vt:variant>
      <vt:variant>
        <vt:i4>5</vt:i4>
      </vt:variant>
      <vt:variant>
        <vt:lpwstr/>
      </vt:variant>
      <vt:variant>
        <vt:lpwstr>_Toc250981295</vt:lpwstr>
      </vt:variant>
      <vt:variant>
        <vt:i4>1245240</vt:i4>
      </vt:variant>
      <vt:variant>
        <vt:i4>14</vt:i4>
      </vt:variant>
      <vt:variant>
        <vt:i4>0</vt:i4>
      </vt:variant>
      <vt:variant>
        <vt:i4>5</vt:i4>
      </vt:variant>
      <vt:variant>
        <vt:lpwstr/>
      </vt:variant>
      <vt:variant>
        <vt:lpwstr>_Toc250981294</vt:lpwstr>
      </vt:variant>
      <vt:variant>
        <vt:i4>1245240</vt:i4>
      </vt:variant>
      <vt:variant>
        <vt:i4>8</vt:i4>
      </vt:variant>
      <vt:variant>
        <vt:i4>0</vt:i4>
      </vt:variant>
      <vt:variant>
        <vt:i4>5</vt:i4>
      </vt:variant>
      <vt:variant>
        <vt:lpwstr/>
      </vt:variant>
      <vt:variant>
        <vt:lpwstr>_Toc250981293</vt:lpwstr>
      </vt:variant>
      <vt:variant>
        <vt:i4>1245240</vt:i4>
      </vt:variant>
      <vt:variant>
        <vt:i4>2</vt:i4>
      </vt:variant>
      <vt:variant>
        <vt:i4>0</vt:i4>
      </vt:variant>
      <vt:variant>
        <vt:i4>5</vt:i4>
      </vt:variant>
      <vt:variant>
        <vt:lpwstr/>
      </vt:variant>
      <vt:variant>
        <vt:lpwstr>_Toc250981291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2019-12-16T15:30:00Z</dcterms:created>
  <dcterms:modified xsi:type="dcterms:W3CDTF">2019-12-16T15:30:00Z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0x0101002C1C096C61898642B9E27B2F7E260A4E0075DE890F72FA8F4A8323D99B4015C490</vt:lpwstr>
  </property>
</Properties>
</file>