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C7D2A" w14:textId="77777777" w:rsidR="006B4934" w:rsidRPr="00C57832" w:rsidRDefault="006B4934">
      <w:pPr>
        <w:jc w:val="center"/>
        <w:rPr>
          <w:rFonts w:eastAsia="Times New Roman"/>
          <w:szCs w:val="18"/>
          <w:lang w:val="fr-FR" w:eastAsia="nl-NL"/>
        </w:rPr>
      </w:pPr>
    </w:p>
    <w:p w14:paraId="397C7D2B" w14:textId="77777777" w:rsidR="006B4934" w:rsidRPr="00C57832" w:rsidRDefault="00306B75" w:rsidP="00AE59AD">
      <w:pPr>
        <w:pBdr>
          <w:top w:val="single" w:sz="4" w:space="1" w:color="auto"/>
          <w:left w:val="single" w:sz="4" w:space="4" w:color="auto"/>
          <w:bottom w:val="single" w:sz="4" w:space="1" w:color="auto"/>
          <w:right w:val="single" w:sz="4" w:space="4" w:color="auto"/>
        </w:pBdr>
        <w:spacing w:after="0"/>
        <w:ind w:right="4390"/>
        <w:jc w:val="center"/>
        <w:rPr>
          <w:rFonts w:eastAsia="Times New Roman"/>
          <w:szCs w:val="18"/>
          <w:lang w:val="fr-FR" w:eastAsia="nl-NL"/>
        </w:rPr>
      </w:pPr>
      <w:r w:rsidRPr="00C57832">
        <w:rPr>
          <w:szCs w:val="18"/>
          <w:lang w:val="fr-FR"/>
        </w:rPr>
        <w:fldChar w:fldCharType="begin">
          <w:ffData>
            <w:name w:val=""/>
            <w:enabled/>
            <w:calcOnExit w:val="0"/>
            <w:textInput>
              <w:default w:val="&lt;Dénomination du pouvoir adjudicateur&gt;"/>
            </w:textInput>
          </w:ffData>
        </w:fldChar>
      </w:r>
      <w:r w:rsidR="006B4934" w:rsidRPr="00C57832">
        <w:rPr>
          <w:szCs w:val="18"/>
          <w:lang w:val="fr-FR"/>
        </w:rPr>
        <w:instrText xml:space="preserve"> FORMTEXT </w:instrText>
      </w:r>
      <w:r w:rsidRPr="00C57832">
        <w:rPr>
          <w:szCs w:val="18"/>
          <w:lang w:val="fr-FR"/>
        </w:rPr>
      </w:r>
      <w:r w:rsidRPr="00C57832">
        <w:rPr>
          <w:szCs w:val="18"/>
          <w:lang w:val="fr-FR"/>
        </w:rPr>
        <w:fldChar w:fldCharType="separate"/>
      </w:r>
      <w:r w:rsidR="006B4934" w:rsidRPr="00C57832">
        <w:rPr>
          <w:noProof/>
          <w:szCs w:val="18"/>
          <w:lang w:val="fr-FR"/>
        </w:rPr>
        <w:t>&lt;Indiquer le nom du Pouvoir adjudicateur&gt;</w:t>
      </w:r>
      <w:r w:rsidRPr="00C57832">
        <w:rPr>
          <w:szCs w:val="18"/>
          <w:lang w:val="fr-FR"/>
        </w:rPr>
        <w:fldChar w:fldCharType="end"/>
      </w:r>
    </w:p>
    <w:p w14:paraId="397C7D2C" w14:textId="77777777" w:rsidR="006B4934" w:rsidRPr="00C57832" w:rsidRDefault="00306B75" w:rsidP="00AE59AD">
      <w:pPr>
        <w:pBdr>
          <w:top w:val="single" w:sz="4" w:space="1" w:color="auto"/>
          <w:left w:val="single" w:sz="4" w:space="4" w:color="auto"/>
          <w:bottom w:val="single" w:sz="4" w:space="1" w:color="auto"/>
          <w:right w:val="single" w:sz="4" w:space="4" w:color="auto"/>
        </w:pBdr>
        <w:spacing w:after="0"/>
        <w:ind w:right="4390"/>
        <w:jc w:val="center"/>
        <w:rPr>
          <w:rFonts w:eastAsia="Times New Roman"/>
          <w:szCs w:val="18"/>
          <w:lang w:val="fr-FR" w:eastAsia="nl-NL"/>
        </w:rPr>
      </w:pPr>
      <w:r w:rsidRPr="00C57832">
        <w:rPr>
          <w:szCs w:val="18"/>
          <w:lang w:val="fr-FR"/>
        </w:rPr>
        <w:fldChar w:fldCharType="begin">
          <w:ffData>
            <w:name w:val=""/>
            <w:enabled/>
            <w:calcOnExit w:val="0"/>
            <w:textInput>
              <w:default w:val="&lt;Dénomination du pouvoir adjudicateur&gt;"/>
            </w:textInput>
          </w:ffData>
        </w:fldChar>
      </w:r>
      <w:r w:rsidR="006B4934" w:rsidRPr="00C57832">
        <w:rPr>
          <w:szCs w:val="18"/>
          <w:lang w:val="fr-FR"/>
        </w:rPr>
        <w:instrText xml:space="preserve"> FORMTEXT </w:instrText>
      </w:r>
      <w:r w:rsidRPr="00C57832">
        <w:rPr>
          <w:szCs w:val="18"/>
          <w:lang w:val="fr-FR"/>
        </w:rPr>
      </w:r>
      <w:r w:rsidRPr="00C57832">
        <w:rPr>
          <w:szCs w:val="18"/>
          <w:lang w:val="fr-FR"/>
        </w:rPr>
        <w:fldChar w:fldCharType="separate"/>
      </w:r>
      <w:r w:rsidR="006B4934" w:rsidRPr="00C57832">
        <w:rPr>
          <w:noProof/>
          <w:szCs w:val="18"/>
          <w:lang w:val="fr-FR"/>
        </w:rPr>
        <w:t>&lt;Indiquer l'adresse du Pouvoir adjudicateur&gt;</w:t>
      </w:r>
      <w:r w:rsidRPr="00C57832">
        <w:rPr>
          <w:szCs w:val="18"/>
          <w:lang w:val="fr-FR"/>
        </w:rPr>
        <w:fldChar w:fldCharType="end"/>
      </w:r>
    </w:p>
    <w:p w14:paraId="397C7D2D" w14:textId="77777777" w:rsidR="006B4934" w:rsidRPr="00C57832" w:rsidRDefault="00306B75" w:rsidP="00AE59AD">
      <w:pPr>
        <w:pBdr>
          <w:top w:val="single" w:sz="4" w:space="1" w:color="auto"/>
          <w:left w:val="single" w:sz="4" w:space="4" w:color="auto"/>
          <w:bottom w:val="single" w:sz="4" w:space="1" w:color="auto"/>
          <w:right w:val="single" w:sz="4" w:space="4" w:color="auto"/>
        </w:pBdr>
        <w:spacing w:after="0"/>
        <w:ind w:right="4390"/>
        <w:jc w:val="center"/>
        <w:rPr>
          <w:rFonts w:eastAsia="Times New Roman"/>
          <w:szCs w:val="18"/>
          <w:lang w:val="fr-FR" w:eastAsia="nl-NL"/>
        </w:rPr>
      </w:pPr>
      <w:r w:rsidRPr="00C57832">
        <w:rPr>
          <w:szCs w:val="18"/>
          <w:lang w:val="fr-FR"/>
        </w:rPr>
        <w:fldChar w:fldCharType="begin">
          <w:ffData>
            <w:name w:val=""/>
            <w:enabled/>
            <w:calcOnExit w:val="0"/>
            <w:textInput>
              <w:default w:val="&lt;Dénomination du pouvoir adjudicateur&gt;"/>
            </w:textInput>
          </w:ffData>
        </w:fldChar>
      </w:r>
      <w:r w:rsidR="006B4934" w:rsidRPr="00C57832">
        <w:rPr>
          <w:szCs w:val="18"/>
          <w:lang w:val="fr-FR"/>
        </w:rPr>
        <w:instrText xml:space="preserve"> FORMTEXT </w:instrText>
      </w:r>
      <w:r w:rsidRPr="00C57832">
        <w:rPr>
          <w:szCs w:val="18"/>
          <w:lang w:val="fr-FR"/>
        </w:rPr>
      </w:r>
      <w:r w:rsidRPr="00C57832">
        <w:rPr>
          <w:szCs w:val="18"/>
          <w:lang w:val="fr-FR"/>
        </w:rPr>
        <w:fldChar w:fldCharType="separate"/>
      </w:r>
      <w:r w:rsidR="006B4934" w:rsidRPr="00C57832">
        <w:rPr>
          <w:noProof/>
          <w:szCs w:val="18"/>
          <w:lang w:val="fr-FR"/>
        </w:rPr>
        <w:t>&lt;Indiquer le nom de la personne de contact, son numéro de téléphone, son numéro de fax et son adresse e-mail&gt;</w:t>
      </w:r>
      <w:r w:rsidRPr="00C57832">
        <w:rPr>
          <w:szCs w:val="18"/>
          <w:lang w:val="fr-FR"/>
        </w:rPr>
        <w:fldChar w:fldCharType="end"/>
      </w:r>
    </w:p>
    <w:p w14:paraId="397C7D2E" w14:textId="77777777" w:rsidR="006B4934" w:rsidRPr="00C57832" w:rsidRDefault="006B4934">
      <w:pPr>
        <w:rPr>
          <w:lang w:val="fr-FR"/>
        </w:rPr>
      </w:pPr>
    </w:p>
    <w:p w14:paraId="397C7D2F" w14:textId="77777777" w:rsidR="006B4934" w:rsidRPr="00C57832" w:rsidRDefault="006B4934">
      <w:pPr>
        <w:rPr>
          <w:lang w:val="fr-FR"/>
        </w:rPr>
      </w:pPr>
    </w:p>
    <w:p w14:paraId="397C7D30" w14:textId="77777777" w:rsidR="006B4934" w:rsidRPr="00C57832" w:rsidRDefault="006B4934">
      <w:pPr>
        <w:rPr>
          <w:lang w:val="fr-FR"/>
        </w:rPr>
      </w:pPr>
    </w:p>
    <w:p w14:paraId="397C7D31" w14:textId="77777777" w:rsidR="006B4934" w:rsidRPr="00C57832" w:rsidRDefault="006B4934">
      <w:pPr>
        <w:rPr>
          <w:lang w:val="fr-BE"/>
        </w:rPr>
      </w:pPr>
    </w:p>
    <w:p w14:paraId="397C7D32" w14:textId="77777777" w:rsidR="006B4934" w:rsidRPr="00C57832" w:rsidRDefault="006B4934">
      <w:pPr>
        <w:pStyle w:val="Corpsdetexte"/>
        <w:rPr>
          <w:rFonts w:eastAsia="Times New Roman"/>
          <w:sz w:val="34"/>
          <w:lang w:val="fr-BE" w:eastAsia="nl-NL"/>
        </w:rPr>
      </w:pPr>
      <w:bookmarkStart w:id="0" w:name="_Toc200945487"/>
      <w:bookmarkStart w:id="1" w:name="_Toc201587425"/>
      <w:r w:rsidRPr="00C57832">
        <w:rPr>
          <w:rFonts w:eastAsia="Times New Roman"/>
          <w:sz w:val="34"/>
          <w:lang w:val="fr-BE" w:eastAsia="nl-NL"/>
        </w:rPr>
        <w:t xml:space="preserve">CAHIER DES CHARGES n° </w:t>
      </w:r>
      <w:bookmarkStart w:id="2" w:name="Tekstvak4"/>
      <w:r w:rsidR="00306B75" w:rsidRPr="00C57832">
        <w:rPr>
          <w:sz w:val="34"/>
          <w:lang w:val="fr-BE"/>
        </w:rPr>
        <w:fldChar w:fldCharType="begin">
          <w:ffData>
            <w:name w:val="Tekstvak4"/>
            <w:enabled/>
            <w:calcOnExit w:val="0"/>
            <w:textInput>
              <w:default w:val="&lt;numéro du cahier des charges&gt;"/>
            </w:textInput>
          </w:ffData>
        </w:fldChar>
      </w:r>
      <w:r w:rsidRPr="00C57832">
        <w:rPr>
          <w:sz w:val="34"/>
          <w:lang w:val="fr-BE"/>
        </w:rPr>
        <w:instrText xml:space="preserve"> FORMTEXT </w:instrText>
      </w:r>
      <w:r w:rsidR="00306B75" w:rsidRPr="00C57832">
        <w:rPr>
          <w:sz w:val="34"/>
          <w:lang w:val="fr-BE"/>
        </w:rPr>
      </w:r>
      <w:r w:rsidR="00306B75" w:rsidRPr="00C57832">
        <w:rPr>
          <w:sz w:val="34"/>
          <w:lang w:val="fr-BE"/>
        </w:rPr>
        <w:fldChar w:fldCharType="separate"/>
      </w:r>
      <w:r w:rsidRPr="00C57832">
        <w:rPr>
          <w:sz w:val="34"/>
          <w:lang w:val="fr-BE"/>
        </w:rPr>
        <w:t>&lt;numéro du cahier des charges&gt;</w:t>
      </w:r>
      <w:bookmarkEnd w:id="0"/>
      <w:bookmarkEnd w:id="1"/>
      <w:r w:rsidR="00306B75" w:rsidRPr="00C57832">
        <w:rPr>
          <w:sz w:val="34"/>
          <w:lang w:val="fr-BE"/>
        </w:rPr>
        <w:fldChar w:fldCharType="end"/>
      </w:r>
      <w:bookmarkEnd w:id="2"/>
      <w:r w:rsidRPr="00C57832">
        <w:rPr>
          <w:rFonts w:eastAsia="Times New Roman"/>
          <w:sz w:val="34"/>
          <w:lang w:val="fr-BE" w:eastAsia="nl-NL"/>
        </w:rPr>
        <w:t xml:space="preserve"> </w:t>
      </w:r>
    </w:p>
    <w:p w14:paraId="397C7D33" w14:textId="77777777" w:rsidR="006B4934" w:rsidRPr="00C57832" w:rsidRDefault="006B4934">
      <w:pPr>
        <w:pStyle w:val="Titre"/>
        <w:outlineLvl w:val="9"/>
        <w:rPr>
          <w:rFonts w:eastAsia="Times New Roman"/>
          <w:lang w:val="fr-BE" w:eastAsia="nl-NL"/>
        </w:rPr>
      </w:pPr>
    </w:p>
    <w:p w14:paraId="397C7D34" w14:textId="79F65D08" w:rsidR="006B4934" w:rsidRPr="00C57832" w:rsidRDefault="00872188">
      <w:pPr>
        <w:pStyle w:val="Corpsdetexte"/>
        <w:rPr>
          <w:sz w:val="34"/>
          <w:lang w:val="fr-BE" w:eastAsia="nl-NL"/>
        </w:rPr>
      </w:pPr>
      <w:bookmarkStart w:id="3" w:name="_Toc200945488"/>
      <w:bookmarkStart w:id="4" w:name="_Toc201587426"/>
      <w:r w:rsidRPr="00C57832">
        <w:rPr>
          <w:sz w:val="34"/>
          <w:lang w:val="fr-BE" w:eastAsia="nl-NL"/>
        </w:rPr>
        <w:t>PROCEDURE OUVERTE</w:t>
      </w:r>
      <w:r w:rsidR="00904F4C" w:rsidRPr="00C57832">
        <w:rPr>
          <w:sz w:val="34"/>
          <w:lang w:val="fr-BE" w:eastAsia="nl-NL"/>
        </w:rPr>
        <w:t xml:space="preserve"> </w:t>
      </w:r>
      <w:r w:rsidR="006B4934" w:rsidRPr="00C57832">
        <w:rPr>
          <w:sz w:val="34"/>
          <w:lang w:val="fr-BE" w:eastAsia="nl-NL"/>
        </w:rPr>
        <w:t xml:space="preserve">POUR LA COLLECTE DE LA FRACTION </w:t>
      </w:r>
      <w:r w:rsidRPr="00C57832">
        <w:rPr>
          <w:sz w:val="34"/>
          <w:lang w:val="fr-BE" w:eastAsia="nl-NL"/>
        </w:rPr>
        <w:t>EMBALLAGES</w:t>
      </w:r>
      <w:r w:rsidR="006B4934" w:rsidRPr="00C57832">
        <w:rPr>
          <w:sz w:val="34"/>
          <w:lang w:val="fr-BE" w:eastAsia="nl-NL"/>
        </w:rPr>
        <w:t xml:space="preserve"> PLASTIQUE</w:t>
      </w:r>
      <w:r w:rsidR="007B271E" w:rsidRPr="00C57832">
        <w:rPr>
          <w:sz w:val="34"/>
          <w:lang w:val="fr-BE" w:eastAsia="nl-NL"/>
        </w:rPr>
        <w:t>S</w:t>
      </w:r>
      <w:r w:rsidR="006B4934" w:rsidRPr="00C57832">
        <w:rPr>
          <w:sz w:val="34"/>
          <w:lang w:val="fr-BE" w:eastAsia="nl-NL"/>
        </w:rPr>
        <w:t xml:space="preserve">, EMBALLAGES METALLIQUES </w:t>
      </w:r>
      <w:r w:rsidR="006545EC" w:rsidRPr="00C57832">
        <w:rPr>
          <w:sz w:val="34"/>
          <w:lang w:val="fr-BE" w:eastAsia="nl-NL"/>
        </w:rPr>
        <w:t>ET</w:t>
      </w:r>
      <w:r w:rsidR="006B4934" w:rsidRPr="00C57832">
        <w:rPr>
          <w:sz w:val="34"/>
          <w:lang w:val="fr-BE" w:eastAsia="nl-NL"/>
        </w:rPr>
        <w:t xml:space="preserve"> CARTONS A BOISSONS (PMC) D’ORIGINE MENAGERE</w:t>
      </w:r>
      <w:bookmarkEnd w:id="3"/>
      <w:bookmarkEnd w:id="4"/>
    </w:p>
    <w:p w14:paraId="397C7D35" w14:textId="77777777" w:rsidR="006B4934" w:rsidRPr="00C57832" w:rsidRDefault="006B4934">
      <w:pPr>
        <w:pStyle w:val="Corpsdetexte"/>
        <w:rPr>
          <w:sz w:val="34"/>
          <w:lang w:val="fr-BE"/>
        </w:rPr>
        <w:sectPr w:rsidR="006B4934" w:rsidRPr="00C57832">
          <w:headerReference w:type="default" r:id="rId12"/>
          <w:footerReference w:type="default" r:id="rId13"/>
          <w:pgSz w:w="11906" w:h="16838" w:code="9"/>
          <w:pgMar w:top="1418" w:right="1418" w:bottom="1418" w:left="1418" w:header="709" w:footer="709" w:gutter="0"/>
          <w:cols w:space="708"/>
          <w:docGrid w:linePitch="360"/>
        </w:sectPr>
      </w:pPr>
    </w:p>
    <w:p w14:paraId="397C7D36" w14:textId="77777777" w:rsidR="006B4934" w:rsidRPr="00C57832" w:rsidRDefault="006B4934">
      <w:pPr>
        <w:jc w:val="center"/>
        <w:rPr>
          <w:sz w:val="30"/>
          <w:szCs w:val="30"/>
          <w:lang w:val="fr-BE"/>
        </w:rPr>
      </w:pPr>
      <w:r w:rsidRPr="00C57832">
        <w:rPr>
          <w:sz w:val="30"/>
          <w:szCs w:val="30"/>
          <w:lang w:val="fr-BE"/>
        </w:rPr>
        <w:lastRenderedPageBreak/>
        <w:t>TABLE DES MATIERES</w:t>
      </w:r>
    </w:p>
    <w:p w14:paraId="652B39A6" w14:textId="66FFA12A" w:rsidR="00F072AF" w:rsidRPr="00C57832" w:rsidRDefault="00306B75" w:rsidP="002E6243">
      <w:pPr>
        <w:pStyle w:val="TM1"/>
        <w:tabs>
          <w:tab w:val="right" w:leader="dot" w:pos="9060"/>
        </w:tabs>
        <w:spacing w:after="0"/>
        <w:rPr>
          <w:rFonts w:eastAsiaTheme="minorEastAsia" w:cstheme="minorBidi"/>
          <w:b/>
          <w:sz w:val="22"/>
          <w:szCs w:val="22"/>
          <w:lang w:val="fr-BE" w:eastAsia="nl-BE"/>
        </w:rPr>
      </w:pPr>
      <w:r w:rsidRPr="00C57832">
        <w:rPr>
          <w:lang w:val="fr-BE"/>
        </w:rPr>
        <w:fldChar w:fldCharType="begin"/>
      </w:r>
      <w:r w:rsidR="006B4934" w:rsidRPr="00C57832">
        <w:rPr>
          <w:lang w:val="fr-BE"/>
        </w:rPr>
        <w:instrText xml:space="preserve"> TOC \o "1-3" \h \z \u </w:instrText>
      </w:r>
      <w:r w:rsidRPr="00C57832">
        <w:rPr>
          <w:lang w:val="fr-BE"/>
        </w:rPr>
        <w:fldChar w:fldCharType="separate"/>
      </w:r>
      <w:hyperlink w:anchor="_Toc513197727" w:history="1">
        <w:r w:rsidR="00890802" w:rsidRPr="00C57832">
          <w:rPr>
            <w:rStyle w:val="Lienhypertexte"/>
            <w:rFonts w:eastAsia="Times New Roman"/>
            <w:b/>
            <w:lang w:val="fr-BE" w:eastAsia="nl-NL"/>
          </w:rPr>
          <w:t>PARTIE I : DISPOSITIONS GENERALES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_Toc513197727 \h </w:instrText>
        </w:r>
        <w:r w:rsidR="00F072AF" w:rsidRPr="00C57832">
          <w:rPr>
            <w:b/>
            <w:webHidden/>
            <w:lang w:val="fr-BE"/>
          </w:rPr>
        </w:r>
        <w:r w:rsidR="00F072AF" w:rsidRPr="00C57832">
          <w:rPr>
            <w:b/>
            <w:webHidden/>
            <w:lang w:val="fr-BE"/>
          </w:rPr>
          <w:fldChar w:fldCharType="separate"/>
        </w:r>
        <w:r w:rsidR="00890802" w:rsidRPr="00C57832">
          <w:rPr>
            <w:b/>
            <w:webHidden/>
            <w:lang w:val="fr-BE"/>
          </w:rPr>
          <w:t>5</w:t>
        </w:r>
        <w:r w:rsidR="00F072AF" w:rsidRPr="00C57832">
          <w:rPr>
            <w:b/>
            <w:webHidden/>
            <w:lang w:val="fr-BE"/>
          </w:rPr>
          <w:fldChar w:fldCharType="end"/>
        </w:r>
      </w:hyperlink>
    </w:p>
    <w:p w14:paraId="464F7B82" w14:textId="14A5BF67" w:rsidR="00F072AF" w:rsidRPr="00C57832" w:rsidRDefault="007D6E06" w:rsidP="002E6243">
      <w:pPr>
        <w:pStyle w:val="TM2"/>
        <w:spacing w:after="0"/>
        <w:rPr>
          <w:rFonts w:eastAsiaTheme="minorEastAsia" w:cstheme="minorBidi"/>
          <w:b/>
          <w:sz w:val="22"/>
          <w:szCs w:val="22"/>
          <w:lang w:val="fr-BE" w:eastAsia="nl-BE"/>
        </w:rPr>
      </w:pPr>
      <w:hyperlink w:anchor="_Toc513197728" w:history="1">
        <w:r w:rsidR="00890802" w:rsidRPr="00C57832">
          <w:rPr>
            <w:rStyle w:val="Lienhypertexte"/>
            <w:rFonts w:eastAsia="Times New Roman"/>
            <w:b/>
            <w:lang w:val="fr-BE" w:eastAsia="nl-NL"/>
          </w:rPr>
          <w:t>PREALABLE : LEXIQUE</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_Toc513197728 \h </w:instrText>
        </w:r>
        <w:r w:rsidR="00F072AF" w:rsidRPr="00C57832">
          <w:rPr>
            <w:b/>
            <w:webHidden/>
            <w:lang w:val="fr-BE"/>
          </w:rPr>
        </w:r>
        <w:r w:rsidR="00F072AF" w:rsidRPr="00C57832">
          <w:rPr>
            <w:b/>
            <w:webHidden/>
            <w:lang w:val="fr-BE"/>
          </w:rPr>
          <w:fldChar w:fldCharType="separate"/>
        </w:r>
        <w:r w:rsidR="00890802" w:rsidRPr="00C57832">
          <w:rPr>
            <w:b/>
            <w:webHidden/>
            <w:lang w:val="fr-BE"/>
          </w:rPr>
          <w:t>5</w:t>
        </w:r>
        <w:r w:rsidR="00F072AF" w:rsidRPr="00C57832">
          <w:rPr>
            <w:b/>
            <w:webHidden/>
            <w:lang w:val="fr-BE"/>
          </w:rPr>
          <w:fldChar w:fldCharType="end"/>
        </w:r>
      </w:hyperlink>
    </w:p>
    <w:p w14:paraId="7241FAC6" w14:textId="1FEF115F" w:rsidR="00F072AF" w:rsidRPr="00C57832" w:rsidRDefault="007D6E06" w:rsidP="002E6243">
      <w:pPr>
        <w:pStyle w:val="TM2"/>
        <w:spacing w:after="0"/>
        <w:rPr>
          <w:rFonts w:eastAsiaTheme="minorEastAsia" w:cstheme="minorBidi"/>
          <w:b/>
          <w:sz w:val="22"/>
          <w:szCs w:val="22"/>
          <w:lang w:val="fr-BE" w:eastAsia="nl-BE"/>
        </w:rPr>
      </w:pPr>
      <w:hyperlink w:anchor="_Toc513197729" w:history="1">
        <w:r w:rsidR="00890802" w:rsidRPr="00C57832">
          <w:rPr>
            <w:rStyle w:val="Lienhypertexte"/>
            <w:b/>
            <w:lang w:val="fr-BE" w:eastAsia="nl-NL"/>
          </w:rPr>
          <w:t>ARTICLE 1 : OBJET ET NATURE DU MARCHE</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_Toc513197729 \h </w:instrText>
        </w:r>
        <w:r w:rsidR="00F072AF" w:rsidRPr="00C57832">
          <w:rPr>
            <w:b/>
            <w:webHidden/>
            <w:lang w:val="fr-BE"/>
          </w:rPr>
        </w:r>
        <w:r w:rsidR="00F072AF" w:rsidRPr="00C57832">
          <w:rPr>
            <w:b/>
            <w:webHidden/>
            <w:lang w:val="fr-BE"/>
          </w:rPr>
          <w:fldChar w:fldCharType="separate"/>
        </w:r>
        <w:r w:rsidR="00890802" w:rsidRPr="00C57832">
          <w:rPr>
            <w:b/>
            <w:webHidden/>
            <w:lang w:val="fr-BE"/>
          </w:rPr>
          <w:t>6</w:t>
        </w:r>
        <w:r w:rsidR="00F072AF" w:rsidRPr="00C57832">
          <w:rPr>
            <w:b/>
            <w:webHidden/>
            <w:lang w:val="fr-BE"/>
          </w:rPr>
          <w:fldChar w:fldCharType="end"/>
        </w:r>
      </w:hyperlink>
    </w:p>
    <w:p w14:paraId="683E61E2" w14:textId="6B51BCEE" w:rsidR="00F072AF" w:rsidRPr="00C57832" w:rsidRDefault="007D6E06" w:rsidP="002E6243">
      <w:pPr>
        <w:pStyle w:val="TM2"/>
        <w:spacing w:after="0"/>
        <w:rPr>
          <w:rFonts w:eastAsiaTheme="minorEastAsia" w:cstheme="minorBidi"/>
          <w:b/>
          <w:sz w:val="22"/>
          <w:szCs w:val="22"/>
          <w:lang w:val="fr-BE" w:eastAsia="nl-BE"/>
        </w:rPr>
      </w:pPr>
      <w:hyperlink w:anchor="_Toc513197730" w:history="1">
        <w:r w:rsidR="00890802" w:rsidRPr="00C57832">
          <w:rPr>
            <w:rStyle w:val="Lienhypertexte"/>
            <w:b/>
            <w:lang w:val="fr-BE" w:eastAsia="nl-NL"/>
          </w:rPr>
          <w:t>ARTICLE 2 : DUREE DU MARCHE</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_Toc513197730 \h </w:instrText>
        </w:r>
        <w:r w:rsidR="00F072AF" w:rsidRPr="00C57832">
          <w:rPr>
            <w:b/>
            <w:webHidden/>
            <w:lang w:val="fr-BE"/>
          </w:rPr>
        </w:r>
        <w:r w:rsidR="00F072AF" w:rsidRPr="00C57832">
          <w:rPr>
            <w:b/>
            <w:webHidden/>
            <w:lang w:val="fr-BE"/>
          </w:rPr>
          <w:fldChar w:fldCharType="separate"/>
        </w:r>
        <w:r w:rsidR="00890802" w:rsidRPr="00C57832">
          <w:rPr>
            <w:b/>
            <w:webHidden/>
            <w:lang w:val="fr-BE"/>
          </w:rPr>
          <w:t>7</w:t>
        </w:r>
        <w:r w:rsidR="00F072AF" w:rsidRPr="00C57832">
          <w:rPr>
            <w:b/>
            <w:webHidden/>
            <w:lang w:val="fr-BE"/>
          </w:rPr>
          <w:fldChar w:fldCharType="end"/>
        </w:r>
      </w:hyperlink>
    </w:p>
    <w:p w14:paraId="3C3E00EE" w14:textId="51DBDBE4" w:rsidR="00F072AF" w:rsidRPr="00C57832" w:rsidRDefault="007D6E06" w:rsidP="002E6243">
      <w:pPr>
        <w:pStyle w:val="TM2"/>
        <w:spacing w:after="0"/>
        <w:rPr>
          <w:rFonts w:eastAsiaTheme="minorEastAsia" w:cstheme="minorBidi"/>
          <w:b/>
          <w:sz w:val="22"/>
          <w:szCs w:val="22"/>
          <w:lang w:val="fr-BE" w:eastAsia="nl-BE"/>
        </w:rPr>
      </w:pPr>
      <w:hyperlink w:anchor="_Toc513197731" w:history="1">
        <w:r w:rsidR="00890802" w:rsidRPr="00C57832">
          <w:rPr>
            <w:rStyle w:val="Lienhypertexte"/>
            <w:b/>
            <w:lang w:val="fr-BE" w:eastAsia="nl-NL"/>
          </w:rPr>
          <w:t>ARTICLE 3 : POUVOIR ADJUDICATEUR</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_Toc513197731 \h </w:instrText>
        </w:r>
        <w:r w:rsidR="00F072AF" w:rsidRPr="00C57832">
          <w:rPr>
            <w:b/>
            <w:webHidden/>
            <w:lang w:val="fr-BE"/>
          </w:rPr>
        </w:r>
        <w:r w:rsidR="00F072AF" w:rsidRPr="00C57832">
          <w:rPr>
            <w:b/>
            <w:webHidden/>
            <w:lang w:val="fr-BE"/>
          </w:rPr>
          <w:fldChar w:fldCharType="separate"/>
        </w:r>
        <w:r w:rsidR="00890802" w:rsidRPr="00C57832">
          <w:rPr>
            <w:b/>
            <w:webHidden/>
            <w:lang w:val="fr-BE"/>
          </w:rPr>
          <w:t>7</w:t>
        </w:r>
        <w:r w:rsidR="00F072AF" w:rsidRPr="00C57832">
          <w:rPr>
            <w:b/>
            <w:webHidden/>
            <w:lang w:val="fr-BE"/>
          </w:rPr>
          <w:fldChar w:fldCharType="end"/>
        </w:r>
      </w:hyperlink>
    </w:p>
    <w:p w14:paraId="31B67E88" w14:textId="0894CECE" w:rsidR="00F072AF" w:rsidRPr="00C57832" w:rsidRDefault="007D6E06" w:rsidP="002E6243">
      <w:pPr>
        <w:pStyle w:val="TM2"/>
        <w:spacing w:after="0"/>
        <w:rPr>
          <w:rFonts w:eastAsiaTheme="minorEastAsia" w:cstheme="minorBidi"/>
          <w:b/>
          <w:sz w:val="22"/>
          <w:szCs w:val="22"/>
          <w:lang w:val="fr-BE" w:eastAsia="nl-BE"/>
        </w:rPr>
      </w:pPr>
      <w:hyperlink w:anchor="_Toc513197732" w:history="1">
        <w:r w:rsidR="00890802" w:rsidRPr="00C57832">
          <w:rPr>
            <w:rStyle w:val="Lienhypertexte"/>
            <w:rFonts w:eastAsia="Times New Roman"/>
            <w:b/>
            <w:lang w:val="fr-BE" w:eastAsia="nl-NL"/>
          </w:rPr>
          <w:t>ARTICLE 4 : DEPOT ET OUVERTURE DES OFFRES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_Toc513197732 \h </w:instrText>
        </w:r>
        <w:r w:rsidR="00F072AF" w:rsidRPr="00C57832">
          <w:rPr>
            <w:b/>
            <w:webHidden/>
            <w:lang w:val="fr-BE"/>
          </w:rPr>
        </w:r>
        <w:r w:rsidR="00F072AF" w:rsidRPr="00C57832">
          <w:rPr>
            <w:b/>
            <w:webHidden/>
            <w:lang w:val="fr-BE"/>
          </w:rPr>
          <w:fldChar w:fldCharType="separate"/>
        </w:r>
        <w:r w:rsidR="00890802" w:rsidRPr="00C57832">
          <w:rPr>
            <w:b/>
            <w:webHidden/>
            <w:lang w:val="fr-BE"/>
          </w:rPr>
          <w:t>7</w:t>
        </w:r>
        <w:r w:rsidR="00F072AF" w:rsidRPr="00C57832">
          <w:rPr>
            <w:b/>
            <w:webHidden/>
            <w:lang w:val="fr-BE"/>
          </w:rPr>
          <w:fldChar w:fldCharType="end"/>
        </w:r>
      </w:hyperlink>
    </w:p>
    <w:p w14:paraId="4120F99A" w14:textId="6414300C" w:rsidR="00F072AF" w:rsidRPr="00C57832" w:rsidRDefault="007D6E06" w:rsidP="002E6243">
      <w:pPr>
        <w:pStyle w:val="TM2"/>
        <w:spacing w:after="0"/>
        <w:rPr>
          <w:rFonts w:eastAsiaTheme="minorEastAsia" w:cstheme="minorBidi"/>
          <w:sz w:val="22"/>
          <w:szCs w:val="22"/>
          <w:lang w:val="fr-BE" w:eastAsia="nl-BE"/>
        </w:rPr>
      </w:pPr>
      <w:hyperlink w:anchor="_Toc513197733" w:history="1">
        <w:r w:rsidR="00890802" w:rsidRPr="00C57832">
          <w:rPr>
            <w:rStyle w:val="Lienhypertexte"/>
            <w:b/>
            <w:lang w:val="fr-BE" w:eastAsia="nl-NL"/>
          </w:rPr>
          <w:t>ARTICLE 5 : LEGISLATION ET DOCUMENTS APPLICABLES AU MARCHE</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_Toc513197733 \h </w:instrText>
        </w:r>
        <w:r w:rsidR="00F072AF" w:rsidRPr="00C57832">
          <w:rPr>
            <w:b/>
            <w:webHidden/>
            <w:lang w:val="fr-BE"/>
          </w:rPr>
        </w:r>
        <w:r w:rsidR="00F072AF" w:rsidRPr="00C57832">
          <w:rPr>
            <w:b/>
            <w:webHidden/>
            <w:lang w:val="fr-BE"/>
          </w:rPr>
          <w:fldChar w:fldCharType="separate"/>
        </w:r>
        <w:r w:rsidR="00890802" w:rsidRPr="00C57832">
          <w:rPr>
            <w:b/>
            <w:webHidden/>
            <w:lang w:val="fr-BE"/>
          </w:rPr>
          <w:t>9</w:t>
        </w:r>
        <w:r w:rsidR="00F072AF" w:rsidRPr="00C57832">
          <w:rPr>
            <w:b/>
            <w:webHidden/>
            <w:lang w:val="fr-BE"/>
          </w:rPr>
          <w:fldChar w:fldCharType="end"/>
        </w:r>
      </w:hyperlink>
    </w:p>
    <w:p w14:paraId="29146CC0" w14:textId="08125876" w:rsidR="00F072AF" w:rsidRPr="00C57832" w:rsidRDefault="007D6E06" w:rsidP="002E6243">
      <w:pPr>
        <w:pStyle w:val="TM3"/>
        <w:spacing w:after="0"/>
        <w:rPr>
          <w:rFonts w:eastAsiaTheme="minorEastAsia" w:cstheme="minorBidi"/>
          <w:sz w:val="22"/>
          <w:szCs w:val="22"/>
          <w:lang w:val="fr-BE" w:eastAsia="nl-BE"/>
        </w:rPr>
      </w:pPr>
      <w:hyperlink w:anchor="_Toc513197734" w:history="1">
        <w:r w:rsidR="00890802" w:rsidRPr="00C57832">
          <w:rPr>
            <w:rStyle w:val="Lienhypertexte"/>
            <w:lang w:val="fr-BE" w:eastAsia="nl-NL"/>
          </w:rPr>
          <w:t>5.1 LEGISLATION</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_Toc513197734 \h </w:instrText>
        </w:r>
        <w:r w:rsidR="00F072AF" w:rsidRPr="00C57832">
          <w:rPr>
            <w:webHidden/>
            <w:lang w:val="fr-BE"/>
          </w:rPr>
        </w:r>
        <w:r w:rsidR="00F072AF" w:rsidRPr="00C57832">
          <w:rPr>
            <w:webHidden/>
            <w:lang w:val="fr-BE"/>
          </w:rPr>
          <w:fldChar w:fldCharType="separate"/>
        </w:r>
        <w:r w:rsidR="00890802" w:rsidRPr="00C57832">
          <w:rPr>
            <w:webHidden/>
            <w:lang w:val="fr-BE"/>
          </w:rPr>
          <w:t>9</w:t>
        </w:r>
        <w:r w:rsidR="00F072AF" w:rsidRPr="00C57832">
          <w:rPr>
            <w:webHidden/>
            <w:lang w:val="fr-BE"/>
          </w:rPr>
          <w:fldChar w:fldCharType="end"/>
        </w:r>
      </w:hyperlink>
    </w:p>
    <w:p w14:paraId="0F9CD97F" w14:textId="5B673A33" w:rsidR="00F072AF" w:rsidRPr="00C57832" w:rsidRDefault="007D6E06" w:rsidP="002E6243">
      <w:pPr>
        <w:pStyle w:val="TM3"/>
        <w:spacing w:after="0"/>
        <w:rPr>
          <w:rFonts w:eastAsiaTheme="minorEastAsia" w:cstheme="minorBidi"/>
          <w:sz w:val="22"/>
          <w:szCs w:val="22"/>
          <w:lang w:val="fr-BE" w:eastAsia="nl-BE"/>
        </w:rPr>
      </w:pPr>
      <w:hyperlink w:anchor="_Toc513197735" w:history="1">
        <w:r w:rsidR="00890802" w:rsidRPr="00C57832">
          <w:rPr>
            <w:rStyle w:val="Lienhypertexte"/>
            <w:lang w:val="fr-BE" w:eastAsia="nl-NL"/>
          </w:rPr>
          <w:t>5.2 DOCUMENTS APPLICABLES AU MARCHE</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_Toc513197735 \h </w:instrText>
        </w:r>
        <w:r w:rsidR="00F072AF" w:rsidRPr="00C57832">
          <w:rPr>
            <w:webHidden/>
            <w:lang w:val="fr-BE"/>
          </w:rPr>
        </w:r>
        <w:r w:rsidR="00F072AF" w:rsidRPr="00C57832">
          <w:rPr>
            <w:webHidden/>
            <w:lang w:val="fr-BE"/>
          </w:rPr>
          <w:fldChar w:fldCharType="separate"/>
        </w:r>
        <w:r w:rsidR="00890802" w:rsidRPr="00C57832">
          <w:rPr>
            <w:webHidden/>
            <w:lang w:val="fr-BE"/>
          </w:rPr>
          <w:t>10</w:t>
        </w:r>
        <w:r w:rsidR="00F072AF" w:rsidRPr="00C57832">
          <w:rPr>
            <w:webHidden/>
            <w:lang w:val="fr-BE"/>
          </w:rPr>
          <w:fldChar w:fldCharType="end"/>
        </w:r>
      </w:hyperlink>
    </w:p>
    <w:p w14:paraId="0F508527" w14:textId="0C45BB84" w:rsidR="00F072AF" w:rsidRPr="00C57832" w:rsidRDefault="007D6E06" w:rsidP="002E6243">
      <w:pPr>
        <w:pStyle w:val="TM2"/>
        <w:spacing w:after="0"/>
        <w:rPr>
          <w:rFonts w:eastAsiaTheme="minorEastAsia" w:cstheme="minorBidi"/>
          <w:sz w:val="22"/>
          <w:szCs w:val="22"/>
          <w:lang w:val="fr-BE" w:eastAsia="nl-BE"/>
        </w:rPr>
      </w:pPr>
      <w:hyperlink w:anchor="_Toc513197736" w:history="1">
        <w:r w:rsidR="00890802" w:rsidRPr="00C57832">
          <w:rPr>
            <w:rStyle w:val="Lienhypertexte"/>
            <w:b/>
            <w:lang w:val="fr-BE" w:eastAsia="nl-NL"/>
          </w:rPr>
          <w:t>ARTICLE 6 : OFFRES</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_Toc513197736 \h </w:instrText>
        </w:r>
        <w:r w:rsidR="00F072AF" w:rsidRPr="00C57832">
          <w:rPr>
            <w:webHidden/>
            <w:lang w:val="fr-BE"/>
          </w:rPr>
        </w:r>
        <w:r w:rsidR="00F072AF" w:rsidRPr="00C57832">
          <w:rPr>
            <w:webHidden/>
            <w:lang w:val="fr-BE"/>
          </w:rPr>
          <w:fldChar w:fldCharType="separate"/>
        </w:r>
        <w:r w:rsidR="00890802" w:rsidRPr="00C57832">
          <w:rPr>
            <w:webHidden/>
            <w:lang w:val="fr-BE"/>
          </w:rPr>
          <w:t>10</w:t>
        </w:r>
        <w:r w:rsidR="00F072AF" w:rsidRPr="00C57832">
          <w:rPr>
            <w:webHidden/>
            <w:lang w:val="fr-BE"/>
          </w:rPr>
          <w:fldChar w:fldCharType="end"/>
        </w:r>
      </w:hyperlink>
    </w:p>
    <w:p w14:paraId="1F10DC7F" w14:textId="4095CB72" w:rsidR="00F072AF" w:rsidRPr="00C57832" w:rsidRDefault="007D6E06" w:rsidP="002E6243">
      <w:pPr>
        <w:pStyle w:val="TM3"/>
        <w:spacing w:after="0"/>
        <w:rPr>
          <w:rFonts w:eastAsiaTheme="minorEastAsia" w:cstheme="minorBidi"/>
          <w:sz w:val="22"/>
          <w:szCs w:val="22"/>
          <w:lang w:val="fr-BE" w:eastAsia="nl-BE"/>
        </w:rPr>
      </w:pPr>
      <w:hyperlink w:anchor="_Toc513197737" w:history="1">
        <w:r w:rsidR="00890802" w:rsidRPr="00C57832">
          <w:rPr>
            <w:rStyle w:val="Lienhypertexte"/>
            <w:lang w:val="fr-BE" w:eastAsia="nl-NL"/>
          </w:rPr>
          <w:t>6.1. DONNEES A MENTIONNER DANS L’OFFRE</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_Toc513197737 \h </w:instrText>
        </w:r>
        <w:r w:rsidR="00F072AF" w:rsidRPr="00C57832">
          <w:rPr>
            <w:webHidden/>
            <w:lang w:val="fr-BE"/>
          </w:rPr>
        </w:r>
        <w:r w:rsidR="00F072AF" w:rsidRPr="00C57832">
          <w:rPr>
            <w:webHidden/>
            <w:lang w:val="fr-BE"/>
          </w:rPr>
          <w:fldChar w:fldCharType="separate"/>
        </w:r>
        <w:r w:rsidR="00890802" w:rsidRPr="00C57832">
          <w:rPr>
            <w:webHidden/>
            <w:lang w:val="fr-BE"/>
          </w:rPr>
          <w:t>10</w:t>
        </w:r>
        <w:r w:rsidR="00F072AF" w:rsidRPr="00C57832">
          <w:rPr>
            <w:webHidden/>
            <w:lang w:val="fr-BE"/>
          </w:rPr>
          <w:fldChar w:fldCharType="end"/>
        </w:r>
      </w:hyperlink>
    </w:p>
    <w:p w14:paraId="64E7B7DF" w14:textId="6F7C0019" w:rsidR="00F072AF" w:rsidRPr="00C57832" w:rsidRDefault="007D6E06" w:rsidP="002E6243">
      <w:pPr>
        <w:pStyle w:val="TM3"/>
        <w:spacing w:after="0"/>
        <w:rPr>
          <w:rFonts w:eastAsiaTheme="minorEastAsia" w:cstheme="minorBidi"/>
          <w:sz w:val="22"/>
          <w:szCs w:val="22"/>
          <w:lang w:val="fr-BE" w:eastAsia="nl-BE"/>
        </w:rPr>
      </w:pPr>
      <w:hyperlink w:anchor="_Toc513197738" w:history="1">
        <w:r w:rsidR="00890802" w:rsidRPr="00C57832">
          <w:rPr>
            <w:rStyle w:val="Lienhypertexte"/>
            <w:lang w:val="fr-BE" w:eastAsia="nl-NL"/>
          </w:rPr>
          <w:t>6.2. VALIDITE DE L’OFFRE</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_Toc513197738 \h </w:instrText>
        </w:r>
        <w:r w:rsidR="00F072AF" w:rsidRPr="00C57832">
          <w:rPr>
            <w:webHidden/>
            <w:lang w:val="fr-BE"/>
          </w:rPr>
        </w:r>
        <w:r w:rsidR="00F072AF" w:rsidRPr="00C57832">
          <w:rPr>
            <w:webHidden/>
            <w:lang w:val="fr-BE"/>
          </w:rPr>
          <w:fldChar w:fldCharType="separate"/>
        </w:r>
        <w:r w:rsidR="00890802" w:rsidRPr="00C57832">
          <w:rPr>
            <w:webHidden/>
            <w:lang w:val="fr-BE"/>
          </w:rPr>
          <w:t>10</w:t>
        </w:r>
        <w:r w:rsidR="00F072AF" w:rsidRPr="00C57832">
          <w:rPr>
            <w:webHidden/>
            <w:lang w:val="fr-BE"/>
          </w:rPr>
          <w:fldChar w:fldCharType="end"/>
        </w:r>
      </w:hyperlink>
    </w:p>
    <w:p w14:paraId="2885C7A5" w14:textId="4BA717DB" w:rsidR="00F072AF" w:rsidRPr="00C57832" w:rsidRDefault="007D6E06" w:rsidP="002E6243">
      <w:pPr>
        <w:pStyle w:val="TM3"/>
        <w:spacing w:after="0"/>
        <w:rPr>
          <w:rFonts w:eastAsiaTheme="minorEastAsia" w:cstheme="minorBidi"/>
          <w:sz w:val="22"/>
          <w:szCs w:val="22"/>
          <w:lang w:val="fr-BE" w:eastAsia="nl-BE"/>
        </w:rPr>
      </w:pPr>
      <w:hyperlink w:anchor="_Toc513197739" w:history="1">
        <w:r w:rsidR="00890802" w:rsidRPr="00C57832">
          <w:rPr>
            <w:rStyle w:val="Lienhypertexte"/>
            <w:lang w:val="fr-BE" w:eastAsia="nl-NL"/>
          </w:rPr>
          <w:t>6.3. DOCUMENTS ET ATTESTATIONS A JOINDRE A L’OFFRE</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_Toc513197739 \h </w:instrText>
        </w:r>
        <w:r w:rsidR="00F072AF" w:rsidRPr="00C57832">
          <w:rPr>
            <w:webHidden/>
            <w:lang w:val="fr-BE"/>
          </w:rPr>
        </w:r>
        <w:r w:rsidR="00F072AF" w:rsidRPr="00C57832">
          <w:rPr>
            <w:webHidden/>
            <w:lang w:val="fr-BE"/>
          </w:rPr>
          <w:fldChar w:fldCharType="separate"/>
        </w:r>
        <w:r w:rsidR="00890802" w:rsidRPr="00C57832">
          <w:rPr>
            <w:webHidden/>
            <w:lang w:val="fr-BE"/>
          </w:rPr>
          <w:t>11</w:t>
        </w:r>
        <w:r w:rsidR="00F072AF" w:rsidRPr="00C57832">
          <w:rPr>
            <w:webHidden/>
            <w:lang w:val="fr-BE"/>
          </w:rPr>
          <w:fldChar w:fldCharType="end"/>
        </w:r>
      </w:hyperlink>
    </w:p>
    <w:p w14:paraId="2F48D26B" w14:textId="7E0B43B1" w:rsidR="00F072AF" w:rsidRPr="00C57832" w:rsidRDefault="007D6E06" w:rsidP="002E6243">
      <w:pPr>
        <w:pStyle w:val="TM2"/>
        <w:spacing w:after="0"/>
        <w:rPr>
          <w:rFonts w:eastAsiaTheme="minorEastAsia" w:cstheme="minorBidi"/>
          <w:b/>
          <w:sz w:val="22"/>
          <w:szCs w:val="22"/>
          <w:lang w:val="fr-BE" w:eastAsia="nl-BE"/>
        </w:rPr>
      </w:pPr>
      <w:hyperlink w:anchor="_Toc513197740" w:history="1">
        <w:r w:rsidR="00890802" w:rsidRPr="00C57832">
          <w:rPr>
            <w:rStyle w:val="Lienhypertexte"/>
            <w:b/>
            <w:lang w:val="fr-BE" w:eastAsia="nl-NL"/>
          </w:rPr>
          <w:t>ARTICLE 7 : VARIANTES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_Toc513197740 \h </w:instrText>
        </w:r>
        <w:r w:rsidR="00F072AF" w:rsidRPr="00C57832">
          <w:rPr>
            <w:b/>
            <w:webHidden/>
            <w:lang w:val="fr-BE"/>
          </w:rPr>
        </w:r>
        <w:r w:rsidR="00F072AF" w:rsidRPr="00C57832">
          <w:rPr>
            <w:b/>
            <w:webHidden/>
            <w:lang w:val="fr-BE"/>
          </w:rPr>
          <w:fldChar w:fldCharType="separate"/>
        </w:r>
        <w:r w:rsidR="00890802" w:rsidRPr="00C57832">
          <w:rPr>
            <w:b/>
            <w:webHidden/>
            <w:lang w:val="fr-BE"/>
          </w:rPr>
          <w:t>14</w:t>
        </w:r>
        <w:r w:rsidR="00F072AF" w:rsidRPr="00C57832">
          <w:rPr>
            <w:b/>
            <w:webHidden/>
            <w:lang w:val="fr-BE"/>
          </w:rPr>
          <w:fldChar w:fldCharType="end"/>
        </w:r>
      </w:hyperlink>
    </w:p>
    <w:p w14:paraId="17BD25AB" w14:textId="37AB8F9D" w:rsidR="00F072AF" w:rsidRPr="00C57832" w:rsidRDefault="007D6E06" w:rsidP="002E6243">
      <w:pPr>
        <w:pStyle w:val="TM2"/>
        <w:spacing w:after="0"/>
        <w:rPr>
          <w:rFonts w:eastAsiaTheme="minorEastAsia" w:cstheme="minorBidi"/>
          <w:b/>
          <w:sz w:val="22"/>
          <w:szCs w:val="22"/>
          <w:lang w:val="fr-BE" w:eastAsia="nl-BE"/>
        </w:rPr>
      </w:pPr>
      <w:hyperlink w:anchor="_Toc513197741" w:history="1">
        <w:r w:rsidR="00890802" w:rsidRPr="00C57832">
          <w:rPr>
            <w:rStyle w:val="Lienhypertexte"/>
            <w:b/>
            <w:lang w:val="fr-BE" w:eastAsia="nl-NL"/>
          </w:rPr>
          <w:t>ARTICLE 8 : LES PRIX</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_Toc513197741 \h </w:instrText>
        </w:r>
        <w:r w:rsidR="00F072AF" w:rsidRPr="00C57832">
          <w:rPr>
            <w:b/>
            <w:webHidden/>
            <w:lang w:val="fr-BE"/>
          </w:rPr>
        </w:r>
        <w:r w:rsidR="00F072AF" w:rsidRPr="00C57832">
          <w:rPr>
            <w:b/>
            <w:webHidden/>
            <w:lang w:val="fr-BE"/>
          </w:rPr>
          <w:fldChar w:fldCharType="separate"/>
        </w:r>
        <w:r w:rsidR="00890802" w:rsidRPr="00C57832">
          <w:rPr>
            <w:b/>
            <w:webHidden/>
            <w:lang w:val="fr-BE"/>
          </w:rPr>
          <w:t>15</w:t>
        </w:r>
        <w:r w:rsidR="00F072AF" w:rsidRPr="00C57832">
          <w:rPr>
            <w:b/>
            <w:webHidden/>
            <w:lang w:val="fr-BE"/>
          </w:rPr>
          <w:fldChar w:fldCharType="end"/>
        </w:r>
      </w:hyperlink>
    </w:p>
    <w:p w14:paraId="4E5ADFF2" w14:textId="09635DC9" w:rsidR="00F072AF" w:rsidRPr="00C57832" w:rsidRDefault="007D6E06" w:rsidP="002E6243">
      <w:pPr>
        <w:pStyle w:val="TM3"/>
        <w:spacing w:after="0"/>
        <w:rPr>
          <w:rFonts w:eastAsiaTheme="minorEastAsia" w:cstheme="minorBidi"/>
          <w:sz w:val="22"/>
          <w:szCs w:val="22"/>
          <w:lang w:val="fr-BE" w:eastAsia="nl-BE"/>
        </w:rPr>
      </w:pPr>
      <w:hyperlink w:anchor="_Toc513197742" w:history="1">
        <w:r w:rsidR="00890802" w:rsidRPr="00C57832">
          <w:rPr>
            <w:rStyle w:val="Lienhypertexte"/>
            <w:lang w:val="fr-BE" w:eastAsia="nl-NL"/>
          </w:rPr>
          <w:t>8.1. LES PRIX</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_Toc513197742 \h </w:instrText>
        </w:r>
        <w:r w:rsidR="00F072AF" w:rsidRPr="00C57832">
          <w:rPr>
            <w:webHidden/>
            <w:lang w:val="fr-BE"/>
          </w:rPr>
        </w:r>
        <w:r w:rsidR="00F072AF" w:rsidRPr="00C57832">
          <w:rPr>
            <w:webHidden/>
            <w:lang w:val="fr-BE"/>
          </w:rPr>
          <w:fldChar w:fldCharType="separate"/>
        </w:r>
        <w:r w:rsidR="00890802" w:rsidRPr="00C57832">
          <w:rPr>
            <w:webHidden/>
            <w:lang w:val="fr-BE"/>
          </w:rPr>
          <w:t>15</w:t>
        </w:r>
        <w:r w:rsidR="00F072AF" w:rsidRPr="00C57832">
          <w:rPr>
            <w:webHidden/>
            <w:lang w:val="fr-BE"/>
          </w:rPr>
          <w:fldChar w:fldCharType="end"/>
        </w:r>
      </w:hyperlink>
    </w:p>
    <w:p w14:paraId="0F4E240E" w14:textId="5A2FDCFD" w:rsidR="00F072AF" w:rsidRPr="00C57832" w:rsidRDefault="007D6E06" w:rsidP="002E6243">
      <w:pPr>
        <w:pStyle w:val="TM3"/>
        <w:spacing w:after="0"/>
        <w:rPr>
          <w:rFonts w:eastAsiaTheme="minorEastAsia" w:cstheme="minorBidi"/>
          <w:sz w:val="22"/>
          <w:szCs w:val="22"/>
          <w:lang w:val="fr-BE" w:eastAsia="nl-BE"/>
        </w:rPr>
      </w:pPr>
      <w:hyperlink w:anchor="_Toc513197743" w:history="1">
        <w:r w:rsidR="00890802" w:rsidRPr="00C57832">
          <w:rPr>
            <w:rStyle w:val="Lienhypertexte"/>
            <w:rFonts w:eastAsia="Times New Roman"/>
            <w:lang w:val="fr-BE" w:eastAsia="nl-NL"/>
          </w:rPr>
          <w:t>8.2. REVISION DES PRIX</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_Toc513197743 \h </w:instrText>
        </w:r>
        <w:r w:rsidR="00F072AF" w:rsidRPr="00C57832">
          <w:rPr>
            <w:webHidden/>
            <w:lang w:val="fr-BE"/>
          </w:rPr>
        </w:r>
        <w:r w:rsidR="00F072AF" w:rsidRPr="00C57832">
          <w:rPr>
            <w:webHidden/>
            <w:lang w:val="fr-BE"/>
          </w:rPr>
          <w:fldChar w:fldCharType="separate"/>
        </w:r>
        <w:r w:rsidR="00890802" w:rsidRPr="00C57832">
          <w:rPr>
            <w:webHidden/>
            <w:lang w:val="fr-BE"/>
          </w:rPr>
          <w:t>15</w:t>
        </w:r>
        <w:r w:rsidR="00F072AF" w:rsidRPr="00C57832">
          <w:rPr>
            <w:webHidden/>
            <w:lang w:val="fr-BE"/>
          </w:rPr>
          <w:fldChar w:fldCharType="end"/>
        </w:r>
      </w:hyperlink>
    </w:p>
    <w:p w14:paraId="43C9D818" w14:textId="7FBF933D" w:rsidR="00F072AF" w:rsidRPr="00C57832" w:rsidRDefault="007D6E06" w:rsidP="002E6243">
      <w:pPr>
        <w:pStyle w:val="TM2"/>
        <w:spacing w:after="0"/>
        <w:rPr>
          <w:rFonts w:eastAsiaTheme="minorEastAsia" w:cstheme="minorBidi"/>
          <w:b/>
          <w:sz w:val="22"/>
          <w:szCs w:val="22"/>
          <w:lang w:val="fr-BE" w:eastAsia="nl-BE"/>
        </w:rPr>
      </w:pPr>
      <w:hyperlink w:anchor="_Toc513197744" w:history="1">
        <w:r w:rsidR="00890802" w:rsidRPr="00C57832">
          <w:rPr>
            <w:rStyle w:val="Lienhypertexte"/>
            <w:b/>
            <w:lang w:val="fr-BE" w:eastAsia="nl-NL"/>
          </w:rPr>
          <w:t>ARTICLE 9 : REUNIONS DE LOTS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_Toc513197744 \h </w:instrText>
        </w:r>
        <w:r w:rsidR="00F072AF" w:rsidRPr="00C57832">
          <w:rPr>
            <w:b/>
            <w:webHidden/>
            <w:lang w:val="fr-BE"/>
          </w:rPr>
        </w:r>
        <w:r w:rsidR="00F072AF" w:rsidRPr="00C57832">
          <w:rPr>
            <w:b/>
            <w:webHidden/>
            <w:lang w:val="fr-BE"/>
          </w:rPr>
          <w:fldChar w:fldCharType="separate"/>
        </w:r>
        <w:r w:rsidR="00890802" w:rsidRPr="00C57832">
          <w:rPr>
            <w:b/>
            <w:webHidden/>
            <w:lang w:val="fr-BE"/>
          </w:rPr>
          <w:t>16</w:t>
        </w:r>
        <w:r w:rsidR="00F072AF" w:rsidRPr="00C57832">
          <w:rPr>
            <w:b/>
            <w:webHidden/>
            <w:lang w:val="fr-BE"/>
          </w:rPr>
          <w:fldChar w:fldCharType="end"/>
        </w:r>
      </w:hyperlink>
    </w:p>
    <w:p w14:paraId="3173F499" w14:textId="0E72BBF1" w:rsidR="00F072AF" w:rsidRPr="00C57832" w:rsidRDefault="007D6E06" w:rsidP="002E6243">
      <w:pPr>
        <w:pStyle w:val="TM2"/>
        <w:spacing w:after="0"/>
        <w:rPr>
          <w:rFonts w:eastAsiaTheme="minorEastAsia" w:cstheme="minorBidi"/>
          <w:b/>
          <w:sz w:val="22"/>
          <w:szCs w:val="22"/>
          <w:lang w:val="fr-BE" w:eastAsia="nl-BE"/>
        </w:rPr>
      </w:pPr>
      <w:hyperlink w:anchor="_Toc513197745" w:history="1">
        <w:r w:rsidR="00890802" w:rsidRPr="00C57832">
          <w:rPr>
            <w:rStyle w:val="Lienhypertexte"/>
            <w:b/>
            <w:lang w:val="fr-BE" w:eastAsia="nl-NL"/>
          </w:rPr>
          <w:t>ARTICLE 10 : RESPONSABILITE DU PRESTATAIRE DE SERVICES ET DE SES EVENTUELS SOUS-TRAITANTS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_Toc513197745 \h </w:instrText>
        </w:r>
        <w:r w:rsidR="00F072AF" w:rsidRPr="00C57832">
          <w:rPr>
            <w:b/>
            <w:webHidden/>
            <w:lang w:val="fr-BE"/>
          </w:rPr>
        </w:r>
        <w:r w:rsidR="00F072AF" w:rsidRPr="00C57832">
          <w:rPr>
            <w:b/>
            <w:webHidden/>
            <w:lang w:val="fr-BE"/>
          </w:rPr>
          <w:fldChar w:fldCharType="separate"/>
        </w:r>
        <w:r w:rsidR="00890802" w:rsidRPr="00C57832">
          <w:rPr>
            <w:b/>
            <w:webHidden/>
            <w:lang w:val="fr-BE"/>
          </w:rPr>
          <w:t>16</w:t>
        </w:r>
        <w:r w:rsidR="00F072AF" w:rsidRPr="00C57832">
          <w:rPr>
            <w:b/>
            <w:webHidden/>
            <w:lang w:val="fr-BE"/>
          </w:rPr>
          <w:fldChar w:fldCharType="end"/>
        </w:r>
      </w:hyperlink>
    </w:p>
    <w:p w14:paraId="487B704B" w14:textId="7C30AB48" w:rsidR="00F072AF" w:rsidRPr="00C57832" w:rsidRDefault="007D6E06" w:rsidP="002E6243">
      <w:pPr>
        <w:pStyle w:val="TM2"/>
        <w:spacing w:after="0"/>
        <w:rPr>
          <w:rFonts w:eastAsiaTheme="minorEastAsia" w:cstheme="minorBidi"/>
          <w:b/>
          <w:sz w:val="22"/>
          <w:szCs w:val="22"/>
          <w:lang w:val="fr-BE" w:eastAsia="nl-BE"/>
        </w:rPr>
      </w:pPr>
      <w:hyperlink w:anchor="_Toc513197746" w:history="1">
        <w:r w:rsidR="00890802" w:rsidRPr="00C57832">
          <w:rPr>
            <w:rStyle w:val="Lienhypertexte"/>
            <w:b/>
            <w:lang w:val="fr-BE" w:eastAsia="nl-NL"/>
          </w:rPr>
          <w:t>ARTICLE 11 : CRITERES DE SELECTION – REGULARITE DES OFFRES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_Toc513197746 \h </w:instrText>
        </w:r>
        <w:r w:rsidR="00F072AF" w:rsidRPr="00C57832">
          <w:rPr>
            <w:b/>
            <w:webHidden/>
            <w:lang w:val="fr-BE"/>
          </w:rPr>
        </w:r>
        <w:r w:rsidR="00F072AF" w:rsidRPr="00C57832">
          <w:rPr>
            <w:b/>
            <w:webHidden/>
            <w:lang w:val="fr-BE"/>
          </w:rPr>
          <w:fldChar w:fldCharType="separate"/>
        </w:r>
        <w:r w:rsidR="00890802" w:rsidRPr="00C57832">
          <w:rPr>
            <w:b/>
            <w:webHidden/>
            <w:lang w:val="fr-BE"/>
          </w:rPr>
          <w:t>17</w:t>
        </w:r>
        <w:r w:rsidR="00F072AF" w:rsidRPr="00C57832">
          <w:rPr>
            <w:b/>
            <w:webHidden/>
            <w:lang w:val="fr-BE"/>
          </w:rPr>
          <w:fldChar w:fldCharType="end"/>
        </w:r>
      </w:hyperlink>
    </w:p>
    <w:p w14:paraId="428FB780" w14:textId="7FD06B79" w:rsidR="00F072AF" w:rsidRPr="00C57832" w:rsidRDefault="007D6E06" w:rsidP="002E6243">
      <w:pPr>
        <w:pStyle w:val="TM3"/>
        <w:spacing w:after="0"/>
        <w:rPr>
          <w:rFonts w:eastAsiaTheme="minorEastAsia" w:cstheme="minorBidi"/>
          <w:sz w:val="22"/>
          <w:szCs w:val="22"/>
          <w:lang w:val="fr-BE" w:eastAsia="nl-BE"/>
        </w:rPr>
      </w:pPr>
      <w:hyperlink w:anchor="_Toc513197747" w:history="1">
        <w:r w:rsidR="00890802" w:rsidRPr="00C57832">
          <w:rPr>
            <w:rStyle w:val="Lienhypertexte"/>
            <w:lang w:val="fr-BE" w:eastAsia="nl-NL"/>
          </w:rPr>
          <w:t>11.1. CRITERES D’EXCLUSION</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_Toc513197747 \h </w:instrText>
        </w:r>
        <w:r w:rsidR="00F072AF" w:rsidRPr="00C57832">
          <w:rPr>
            <w:webHidden/>
            <w:lang w:val="fr-BE"/>
          </w:rPr>
        </w:r>
        <w:r w:rsidR="00F072AF" w:rsidRPr="00C57832">
          <w:rPr>
            <w:webHidden/>
            <w:lang w:val="fr-BE"/>
          </w:rPr>
          <w:fldChar w:fldCharType="separate"/>
        </w:r>
        <w:r w:rsidR="00890802" w:rsidRPr="00C57832">
          <w:rPr>
            <w:webHidden/>
            <w:lang w:val="fr-BE"/>
          </w:rPr>
          <w:t>17</w:t>
        </w:r>
        <w:r w:rsidR="00F072AF" w:rsidRPr="00C57832">
          <w:rPr>
            <w:webHidden/>
            <w:lang w:val="fr-BE"/>
          </w:rPr>
          <w:fldChar w:fldCharType="end"/>
        </w:r>
      </w:hyperlink>
    </w:p>
    <w:p w14:paraId="1E7F8391" w14:textId="3EB4A6E0" w:rsidR="00F072AF" w:rsidRPr="00C57832" w:rsidRDefault="007D6E06" w:rsidP="002E6243">
      <w:pPr>
        <w:pStyle w:val="TM3"/>
        <w:spacing w:after="0"/>
        <w:rPr>
          <w:rFonts w:eastAsiaTheme="minorEastAsia" w:cstheme="minorBidi"/>
          <w:sz w:val="22"/>
          <w:szCs w:val="22"/>
          <w:lang w:val="fr-BE" w:eastAsia="nl-BE"/>
        </w:rPr>
      </w:pPr>
      <w:hyperlink w:anchor="_Toc513197748" w:history="1">
        <w:r w:rsidR="00890802" w:rsidRPr="00C57832">
          <w:rPr>
            <w:rStyle w:val="Lienhypertexte"/>
            <w:rFonts w:eastAsia="Times New Roman"/>
            <w:lang w:val="fr-BE" w:eastAsia="nl-NL"/>
          </w:rPr>
          <w:t xml:space="preserve">11.2. </w:t>
        </w:r>
        <w:r w:rsidR="00890802" w:rsidRPr="00C57832">
          <w:rPr>
            <w:rStyle w:val="Lienhypertexte"/>
            <w:lang w:val="fr-BE" w:eastAsia="nl-NL"/>
          </w:rPr>
          <w:t>CRITERES DE S</w:t>
        </w:r>
        <w:r w:rsidR="00890802" w:rsidRPr="00C57832">
          <w:rPr>
            <w:rStyle w:val="Lienhypertexte"/>
            <w:rFonts w:eastAsia="Times New Roman"/>
            <w:lang w:val="fr-BE" w:eastAsia="nl-NL"/>
          </w:rPr>
          <w:t>ELECTION QUALITATIFS</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_Toc513197748 \h </w:instrText>
        </w:r>
        <w:r w:rsidR="00F072AF" w:rsidRPr="00C57832">
          <w:rPr>
            <w:webHidden/>
            <w:lang w:val="fr-BE"/>
          </w:rPr>
        </w:r>
        <w:r w:rsidR="00F072AF" w:rsidRPr="00C57832">
          <w:rPr>
            <w:webHidden/>
            <w:lang w:val="fr-BE"/>
          </w:rPr>
          <w:fldChar w:fldCharType="separate"/>
        </w:r>
        <w:r w:rsidR="00890802" w:rsidRPr="00C57832">
          <w:rPr>
            <w:webHidden/>
            <w:lang w:val="fr-BE"/>
          </w:rPr>
          <w:t>18</w:t>
        </w:r>
        <w:r w:rsidR="00F072AF" w:rsidRPr="00C57832">
          <w:rPr>
            <w:webHidden/>
            <w:lang w:val="fr-BE"/>
          </w:rPr>
          <w:fldChar w:fldCharType="end"/>
        </w:r>
      </w:hyperlink>
    </w:p>
    <w:p w14:paraId="1CE711E4" w14:textId="70125657" w:rsidR="00F072AF" w:rsidRPr="00C57832" w:rsidRDefault="007D6E06" w:rsidP="002E6243">
      <w:pPr>
        <w:pStyle w:val="TM3"/>
        <w:spacing w:after="0"/>
        <w:rPr>
          <w:rFonts w:eastAsiaTheme="minorEastAsia" w:cstheme="minorBidi"/>
          <w:sz w:val="22"/>
          <w:szCs w:val="22"/>
          <w:lang w:val="fr-BE" w:eastAsia="nl-BE"/>
        </w:rPr>
      </w:pPr>
      <w:hyperlink w:anchor="_Toc513197749" w:history="1">
        <w:r w:rsidR="00890802" w:rsidRPr="00C57832">
          <w:rPr>
            <w:rStyle w:val="Lienhypertexte"/>
            <w:i/>
            <w:iCs/>
            <w:lang w:val="fr-BE"/>
          </w:rPr>
          <w:t>(OU BIEN – VALEUR ESTIMÉE SUPÉRIEURE OU ÉGALE AU SEUIL EUROPÉEN :)</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_Toc513197749 \h </w:instrText>
        </w:r>
        <w:r w:rsidR="00F072AF" w:rsidRPr="00C57832">
          <w:rPr>
            <w:webHidden/>
            <w:lang w:val="fr-BE"/>
          </w:rPr>
        </w:r>
        <w:r w:rsidR="00F072AF" w:rsidRPr="00C57832">
          <w:rPr>
            <w:webHidden/>
            <w:lang w:val="fr-BE"/>
          </w:rPr>
          <w:fldChar w:fldCharType="separate"/>
        </w:r>
        <w:r w:rsidR="00890802" w:rsidRPr="00C57832">
          <w:rPr>
            <w:webHidden/>
            <w:lang w:val="fr-BE"/>
          </w:rPr>
          <w:t>20</w:t>
        </w:r>
        <w:r w:rsidR="00F072AF" w:rsidRPr="00C57832">
          <w:rPr>
            <w:webHidden/>
            <w:lang w:val="fr-BE"/>
          </w:rPr>
          <w:fldChar w:fldCharType="end"/>
        </w:r>
      </w:hyperlink>
    </w:p>
    <w:p w14:paraId="67A624DA" w14:textId="0A0F804E" w:rsidR="00F072AF" w:rsidRPr="00C57832" w:rsidRDefault="007D6E06" w:rsidP="002E6243">
      <w:pPr>
        <w:pStyle w:val="TM3"/>
        <w:spacing w:after="0"/>
        <w:rPr>
          <w:rFonts w:eastAsiaTheme="minorEastAsia" w:cstheme="minorBidi"/>
          <w:sz w:val="22"/>
          <w:szCs w:val="22"/>
          <w:lang w:val="fr-BE" w:eastAsia="nl-BE"/>
        </w:rPr>
      </w:pPr>
      <w:hyperlink w:anchor="_Toc513197750" w:history="1">
        <w:r w:rsidR="00890802" w:rsidRPr="00C57832">
          <w:rPr>
            <w:rStyle w:val="Lienhypertexte"/>
            <w:lang w:val="fr-BE"/>
          </w:rPr>
          <w:t>11.3 UTILISATION DE SOUS-TRAITANTS ET APPEL AUX CAPACITÉS</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_Toc513197750 \h </w:instrText>
        </w:r>
        <w:r w:rsidR="00F072AF" w:rsidRPr="00C57832">
          <w:rPr>
            <w:webHidden/>
            <w:lang w:val="fr-BE"/>
          </w:rPr>
        </w:r>
        <w:r w:rsidR="00F072AF" w:rsidRPr="00C57832">
          <w:rPr>
            <w:webHidden/>
            <w:lang w:val="fr-BE"/>
          </w:rPr>
          <w:fldChar w:fldCharType="separate"/>
        </w:r>
        <w:r w:rsidR="00890802" w:rsidRPr="00C57832">
          <w:rPr>
            <w:webHidden/>
            <w:lang w:val="fr-BE"/>
          </w:rPr>
          <w:t>20</w:t>
        </w:r>
        <w:r w:rsidR="00F072AF" w:rsidRPr="00C57832">
          <w:rPr>
            <w:webHidden/>
            <w:lang w:val="fr-BE"/>
          </w:rPr>
          <w:fldChar w:fldCharType="end"/>
        </w:r>
      </w:hyperlink>
    </w:p>
    <w:p w14:paraId="6BE0B4E8" w14:textId="1F9A2471" w:rsidR="00F072AF" w:rsidRPr="00C57832" w:rsidRDefault="007D6E06" w:rsidP="002E6243">
      <w:pPr>
        <w:pStyle w:val="TM3"/>
        <w:spacing w:after="0"/>
        <w:rPr>
          <w:rFonts w:eastAsiaTheme="minorEastAsia" w:cstheme="minorBidi"/>
          <w:sz w:val="22"/>
          <w:szCs w:val="22"/>
          <w:lang w:val="fr-BE" w:eastAsia="nl-BE"/>
        </w:rPr>
      </w:pPr>
      <w:hyperlink w:anchor="_Toc513197751" w:history="1">
        <w:r w:rsidR="00890802" w:rsidRPr="00C57832">
          <w:rPr>
            <w:rStyle w:val="Lienhypertexte"/>
            <w:lang w:val="fr-BE"/>
          </w:rPr>
          <w:t>11.4. DOCUMENT UNIQUE DE MARCHÉ EUROPÉEN</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_Toc513197751 \h </w:instrText>
        </w:r>
        <w:r w:rsidR="00F072AF" w:rsidRPr="00C57832">
          <w:rPr>
            <w:webHidden/>
            <w:lang w:val="fr-BE"/>
          </w:rPr>
        </w:r>
        <w:r w:rsidR="00F072AF" w:rsidRPr="00C57832">
          <w:rPr>
            <w:webHidden/>
            <w:lang w:val="fr-BE"/>
          </w:rPr>
          <w:fldChar w:fldCharType="separate"/>
        </w:r>
        <w:r w:rsidR="00890802" w:rsidRPr="00C57832">
          <w:rPr>
            <w:webHidden/>
            <w:lang w:val="fr-BE"/>
          </w:rPr>
          <w:t>20</w:t>
        </w:r>
        <w:r w:rsidR="00F072AF" w:rsidRPr="00C57832">
          <w:rPr>
            <w:webHidden/>
            <w:lang w:val="fr-BE"/>
          </w:rPr>
          <w:fldChar w:fldCharType="end"/>
        </w:r>
      </w:hyperlink>
    </w:p>
    <w:p w14:paraId="26890FD6" w14:textId="2FCBEE85" w:rsidR="00F072AF" w:rsidRPr="00C57832" w:rsidRDefault="007D6E06" w:rsidP="002E6243">
      <w:pPr>
        <w:pStyle w:val="TM3"/>
        <w:spacing w:after="0"/>
        <w:rPr>
          <w:rFonts w:eastAsiaTheme="minorEastAsia" w:cstheme="minorBidi"/>
          <w:sz w:val="22"/>
          <w:szCs w:val="22"/>
          <w:lang w:val="fr-BE" w:eastAsia="nl-BE"/>
        </w:rPr>
      </w:pPr>
      <w:hyperlink w:anchor="_Toc513197752" w:history="1">
        <w:r w:rsidR="00890802" w:rsidRPr="00C57832">
          <w:rPr>
            <w:rStyle w:val="Lienhypertexte"/>
            <w:rFonts w:eastAsia="Times New Roman"/>
            <w:lang w:val="fr-BE" w:eastAsia="nl-NL"/>
          </w:rPr>
          <w:t>11.5. REGULARITE DES OFFRES ET DES PRIX</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_Toc513197752 \h </w:instrText>
        </w:r>
        <w:r w:rsidR="00F072AF" w:rsidRPr="00C57832">
          <w:rPr>
            <w:webHidden/>
            <w:lang w:val="fr-BE"/>
          </w:rPr>
        </w:r>
        <w:r w:rsidR="00F072AF" w:rsidRPr="00C57832">
          <w:rPr>
            <w:webHidden/>
            <w:lang w:val="fr-BE"/>
          </w:rPr>
          <w:fldChar w:fldCharType="separate"/>
        </w:r>
        <w:r w:rsidR="00890802" w:rsidRPr="00C57832">
          <w:rPr>
            <w:webHidden/>
            <w:lang w:val="fr-BE"/>
          </w:rPr>
          <w:t>21</w:t>
        </w:r>
        <w:r w:rsidR="00F072AF" w:rsidRPr="00C57832">
          <w:rPr>
            <w:webHidden/>
            <w:lang w:val="fr-BE"/>
          </w:rPr>
          <w:fldChar w:fldCharType="end"/>
        </w:r>
      </w:hyperlink>
    </w:p>
    <w:p w14:paraId="7331396A" w14:textId="4CA8270C" w:rsidR="00F072AF" w:rsidRPr="00C57832" w:rsidRDefault="007D6E06" w:rsidP="002E6243">
      <w:pPr>
        <w:pStyle w:val="TM2"/>
        <w:spacing w:after="0"/>
        <w:rPr>
          <w:rFonts w:eastAsiaTheme="minorEastAsia" w:cstheme="minorBidi"/>
          <w:b/>
          <w:sz w:val="22"/>
          <w:szCs w:val="22"/>
          <w:lang w:val="fr-BE" w:eastAsia="nl-BE"/>
        </w:rPr>
      </w:pPr>
      <w:hyperlink w:anchor="_Toc513197753" w:history="1">
        <w:r w:rsidR="00890802" w:rsidRPr="00C57832">
          <w:rPr>
            <w:rStyle w:val="Lienhypertexte"/>
            <w:b/>
            <w:lang w:val="fr-BE" w:eastAsia="nl-NL"/>
          </w:rPr>
          <w:t>ARTICLE 12 : CRITERES D’ATTRIBUTION</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_Toc513197753 \h </w:instrText>
        </w:r>
        <w:r w:rsidR="00F072AF" w:rsidRPr="00C57832">
          <w:rPr>
            <w:b/>
            <w:webHidden/>
            <w:lang w:val="fr-BE"/>
          </w:rPr>
        </w:r>
        <w:r w:rsidR="00F072AF" w:rsidRPr="00C57832">
          <w:rPr>
            <w:b/>
            <w:webHidden/>
            <w:lang w:val="fr-BE"/>
          </w:rPr>
          <w:fldChar w:fldCharType="separate"/>
        </w:r>
        <w:r w:rsidR="00890802" w:rsidRPr="00C57832">
          <w:rPr>
            <w:b/>
            <w:webHidden/>
            <w:lang w:val="fr-BE"/>
          </w:rPr>
          <w:t>21</w:t>
        </w:r>
        <w:r w:rsidR="00F072AF" w:rsidRPr="00C57832">
          <w:rPr>
            <w:b/>
            <w:webHidden/>
            <w:lang w:val="fr-BE"/>
          </w:rPr>
          <w:fldChar w:fldCharType="end"/>
        </w:r>
      </w:hyperlink>
    </w:p>
    <w:p w14:paraId="42748BF2" w14:textId="68FA5D1F" w:rsidR="00F072AF" w:rsidRPr="00C57832" w:rsidRDefault="007D6E06" w:rsidP="002E6243">
      <w:pPr>
        <w:pStyle w:val="TM2"/>
        <w:spacing w:after="0"/>
        <w:rPr>
          <w:rFonts w:eastAsiaTheme="minorEastAsia" w:cstheme="minorBidi"/>
          <w:b/>
          <w:sz w:val="22"/>
          <w:szCs w:val="22"/>
          <w:lang w:val="fr-BE" w:eastAsia="nl-BE"/>
        </w:rPr>
      </w:pPr>
      <w:hyperlink w:anchor="_Toc513197754" w:history="1">
        <w:r w:rsidR="00890802" w:rsidRPr="00C57832">
          <w:rPr>
            <w:rStyle w:val="Lienhypertexte"/>
            <w:b/>
            <w:lang w:val="fr-BE" w:eastAsia="nl-NL"/>
          </w:rPr>
          <w:t>ARTICLE 13 : CAUTIONNEMENT</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_Toc513197754 \h </w:instrText>
        </w:r>
        <w:r w:rsidR="00F072AF" w:rsidRPr="00C57832">
          <w:rPr>
            <w:b/>
            <w:webHidden/>
            <w:lang w:val="fr-BE"/>
          </w:rPr>
        </w:r>
        <w:r w:rsidR="00F072AF" w:rsidRPr="00C57832">
          <w:rPr>
            <w:b/>
            <w:webHidden/>
            <w:lang w:val="fr-BE"/>
          </w:rPr>
          <w:fldChar w:fldCharType="separate"/>
        </w:r>
        <w:r w:rsidR="00890802" w:rsidRPr="00C57832">
          <w:rPr>
            <w:b/>
            <w:webHidden/>
            <w:lang w:val="fr-BE"/>
          </w:rPr>
          <w:t>22</w:t>
        </w:r>
        <w:r w:rsidR="00F072AF" w:rsidRPr="00C57832">
          <w:rPr>
            <w:b/>
            <w:webHidden/>
            <w:lang w:val="fr-BE"/>
          </w:rPr>
          <w:fldChar w:fldCharType="end"/>
        </w:r>
      </w:hyperlink>
    </w:p>
    <w:p w14:paraId="0C29A73F" w14:textId="34143265" w:rsidR="00F072AF" w:rsidRPr="00C57832" w:rsidRDefault="007D6E06" w:rsidP="002E6243">
      <w:pPr>
        <w:pStyle w:val="TM2"/>
        <w:spacing w:after="0"/>
        <w:rPr>
          <w:rFonts w:eastAsiaTheme="minorEastAsia" w:cstheme="minorBidi"/>
          <w:b/>
          <w:sz w:val="22"/>
          <w:szCs w:val="22"/>
          <w:lang w:val="fr-BE" w:eastAsia="nl-BE"/>
        </w:rPr>
      </w:pPr>
      <w:hyperlink w:anchor="_Toc513197755" w:history="1">
        <w:r w:rsidR="00890802" w:rsidRPr="00C57832">
          <w:rPr>
            <w:rStyle w:val="Lienhypertexte"/>
            <w:b/>
            <w:lang w:val="fr-BE" w:eastAsia="nl-NL"/>
          </w:rPr>
          <w:t>ARTICLE 14 : FONCTIONNAIRE-DIRIGEANT – CONTROLE ET SURVEILLANCE DES SERVICES EFFECTUES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_Toc513197755 \h </w:instrText>
        </w:r>
        <w:r w:rsidR="00F072AF" w:rsidRPr="00C57832">
          <w:rPr>
            <w:b/>
            <w:webHidden/>
            <w:lang w:val="fr-BE"/>
          </w:rPr>
        </w:r>
        <w:r w:rsidR="00F072AF" w:rsidRPr="00C57832">
          <w:rPr>
            <w:b/>
            <w:webHidden/>
            <w:lang w:val="fr-BE"/>
          </w:rPr>
          <w:fldChar w:fldCharType="separate"/>
        </w:r>
        <w:r w:rsidR="00890802" w:rsidRPr="00C57832">
          <w:rPr>
            <w:b/>
            <w:webHidden/>
            <w:lang w:val="fr-BE"/>
          </w:rPr>
          <w:t>24</w:t>
        </w:r>
        <w:r w:rsidR="00F072AF" w:rsidRPr="00C57832">
          <w:rPr>
            <w:b/>
            <w:webHidden/>
            <w:lang w:val="fr-BE"/>
          </w:rPr>
          <w:fldChar w:fldCharType="end"/>
        </w:r>
      </w:hyperlink>
    </w:p>
    <w:p w14:paraId="3501D7AE" w14:textId="5B2CD217" w:rsidR="00F072AF" w:rsidRPr="00C57832" w:rsidRDefault="007D6E06" w:rsidP="002E6243">
      <w:pPr>
        <w:pStyle w:val="TM2"/>
        <w:spacing w:after="0"/>
        <w:rPr>
          <w:rFonts w:eastAsiaTheme="minorEastAsia" w:cstheme="minorBidi"/>
          <w:b/>
          <w:sz w:val="22"/>
          <w:szCs w:val="22"/>
          <w:lang w:val="fr-BE" w:eastAsia="nl-BE"/>
        </w:rPr>
      </w:pPr>
      <w:hyperlink w:anchor="_Toc513197756" w:history="1">
        <w:r w:rsidR="00890802" w:rsidRPr="00C57832">
          <w:rPr>
            <w:rStyle w:val="Lienhypertexte"/>
            <w:b/>
            <w:lang w:val="fr-BE" w:eastAsia="nl-NL"/>
          </w:rPr>
          <w:t>ARTICLE 15 : FACTURATION ET PAIEMENT DES SERVICES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_Toc513197756 \h </w:instrText>
        </w:r>
        <w:r w:rsidR="00F072AF" w:rsidRPr="00C57832">
          <w:rPr>
            <w:b/>
            <w:webHidden/>
            <w:lang w:val="fr-BE"/>
          </w:rPr>
        </w:r>
        <w:r w:rsidR="00F072AF" w:rsidRPr="00C57832">
          <w:rPr>
            <w:b/>
            <w:webHidden/>
            <w:lang w:val="fr-BE"/>
          </w:rPr>
          <w:fldChar w:fldCharType="separate"/>
        </w:r>
        <w:r w:rsidR="00890802" w:rsidRPr="00C57832">
          <w:rPr>
            <w:b/>
            <w:webHidden/>
            <w:lang w:val="fr-BE"/>
          </w:rPr>
          <w:t>24</w:t>
        </w:r>
        <w:r w:rsidR="00F072AF" w:rsidRPr="00C57832">
          <w:rPr>
            <w:b/>
            <w:webHidden/>
            <w:lang w:val="fr-BE"/>
          </w:rPr>
          <w:fldChar w:fldCharType="end"/>
        </w:r>
      </w:hyperlink>
    </w:p>
    <w:p w14:paraId="22BC061B" w14:textId="295E7134" w:rsidR="00F072AF" w:rsidRPr="00C57832" w:rsidRDefault="007D6E06" w:rsidP="002E6243">
      <w:pPr>
        <w:pStyle w:val="TM2"/>
        <w:spacing w:after="0"/>
        <w:rPr>
          <w:rFonts w:eastAsiaTheme="minorEastAsia" w:cstheme="minorBidi"/>
          <w:b/>
          <w:sz w:val="22"/>
          <w:szCs w:val="22"/>
          <w:lang w:val="fr-BE" w:eastAsia="nl-BE"/>
        </w:rPr>
      </w:pPr>
      <w:hyperlink w:anchor="_Toc513197757" w:history="1">
        <w:r w:rsidR="00890802" w:rsidRPr="00C57832">
          <w:rPr>
            <w:rStyle w:val="Lienhypertexte"/>
            <w:b/>
            <w:lang w:val="fr-BE" w:eastAsia="nl-NL"/>
          </w:rPr>
          <w:t>ARTICLE 16 : OBLIGATIONS PARTICULIERES POUR LE PRESTATAIRE DE SERVICES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_Toc513197757 \h </w:instrText>
        </w:r>
        <w:r w:rsidR="00F072AF" w:rsidRPr="00C57832">
          <w:rPr>
            <w:b/>
            <w:webHidden/>
            <w:lang w:val="fr-BE"/>
          </w:rPr>
        </w:r>
        <w:r w:rsidR="00F072AF" w:rsidRPr="00C57832">
          <w:rPr>
            <w:b/>
            <w:webHidden/>
            <w:lang w:val="fr-BE"/>
          </w:rPr>
          <w:fldChar w:fldCharType="separate"/>
        </w:r>
        <w:r w:rsidR="00890802" w:rsidRPr="00C57832">
          <w:rPr>
            <w:b/>
            <w:webHidden/>
            <w:lang w:val="fr-BE"/>
          </w:rPr>
          <w:t>25</w:t>
        </w:r>
        <w:r w:rsidR="00F072AF" w:rsidRPr="00C57832">
          <w:rPr>
            <w:b/>
            <w:webHidden/>
            <w:lang w:val="fr-BE"/>
          </w:rPr>
          <w:fldChar w:fldCharType="end"/>
        </w:r>
      </w:hyperlink>
    </w:p>
    <w:p w14:paraId="2242EFC2" w14:textId="7B2C7BD0" w:rsidR="00F072AF" w:rsidRPr="00C57832" w:rsidRDefault="007D6E06" w:rsidP="002E6243">
      <w:pPr>
        <w:pStyle w:val="TM2"/>
        <w:spacing w:after="0"/>
        <w:rPr>
          <w:rFonts w:eastAsiaTheme="minorEastAsia" w:cstheme="minorBidi"/>
          <w:b/>
          <w:sz w:val="22"/>
          <w:szCs w:val="22"/>
          <w:lang w:val="fr-BE" w:eastAsia="nl-BE"/>
        </w:rPr>
      </w:pPr>
      <w:hyperlink w:anchor="_Toc513197758" w:history="1">
        <w:r w:rsidR="00890802" w:rsidRPr="00C57832">
          <w:rPr>
            <w:rStyle w:val="Lienhypertexte"/>
            <w:b/>
            <w:lang w:val="fr-BE" w:eastAsia="nl-NL"/>
          </w:rPr>
          <w:t>ARTICLE 17 : LITIGES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_Toc513197758 \h </w:instrText>
        </w:r>
        <w:r w:rsidR="00F072AF" w:rsidRPr="00C57832">
          <w:rPr>
            <w:b/>
            <w:webHidden/>
            <w:lang w:val="fr-BE"/>
          </w:rPr>
        </w:r>
        <w:r w:rsidR="00F072AF" w:rsidRPr="00C57832">
          <w:rPr>
            <w:b/>
            <w:webHidden/>
            <w:lang w:val="fr-BE"/>
          </w:rPr>
          <w:fldChar w:fldCharType="separate"/>
        </w:r>
        <w:r w:rsidR="00890802" w:rsidRPr="00C57832">
          <w:rPr>
            <w:b/>
            <w:webHidden/>
            <w:lang w:val="fr-BE"/>
          </w:rPr>
          <w:t>26</w:t>
        </w:r>
        <w:r w:rsidR="00F072AF" w:rsidRPr="00C57832">
          <w:rPr>
            <w:b/>
            <w:webHidden/>
            <w:lang w:val="fr-BE"/>
          </w:rPr>
          <w:fldChar w:fldCharType="end"/>
        </w:r>
      </w:hyperlink>
    </w:p>
    <w:p w14:paraId="7CF4B6EC" w14:textId="59A7D9E3" w:rsidR="00F072AF" w:rsidRPr="00C57832" w:rsidRDefault="007D6E06" w:rsidP="002E6243">
      <w:pPr>
        <w:pStyle w:val="TM2"/>
        <w:spacing w:after="0"/>
        <w:rPr>
          <w:rFonts w:eastAsiaTheme="minorEastAsia" w:cstheme="minorBidi"/>
          <w:b/>
          <w:sz w:val="22"/>
          <w:szCs w:val="22"/>
          <w:lang w:val="fr-BE" w:eastAsia="nl-BE"/>
        </w:rPr>
      </w:pPr>
      <w:hyperlink w:anchor="_Toc513197759" w:history="1">
        <w:r w:rsidR="00890802" w:rsidRPr="00C57832">
          <w:rPr>
            <w:rStyle w:val="Lienhypertexte"/>
            <w:b/>
            <w:lang w:val="fr-BE" w:eastAsia="nl-NL"/>
          </w:rPr>
          <w:t>ARTICLE 18 : MOYENS D’ACTION DU POUVOIR ADJUDICATEUR</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_Toc513197759 \h </w:instrText>
        </w:r>
        <w:r w:rsidR="00F072AF" w:rsidRPr="00C57832">
          <w:rPr>
            <w:b/>
            <w:webHidden/>
            <w:lang w:val="fr-BE"/>
          </w:rPr>
        </w:r>
        <w:r w:rsidR="00F072AF" w:rsidRPr="00C57832">
          <w:rPr>
            <w:b/>
            <w:webHidden/>
            <w:lang w:val="fr-BE"/>
          </w:rPr>
          <w:fldChar w:fldCharType="separate"/>
        </w:r>
        <w:r w:rsidR="00890802" w:rsidRPr="00C57832">
          <w:rPr>
            <w:b/>
            <w:webHidden/>
            <w:lang w:val="fr-BE"/>
          </w:rPr>
          <w:t>26</w:t>
        </w:r>
        <w:r w:rsidR="00F072AF" w:rsidRPr="00C57832">
          <w:rPr>
            <w:b/>
            <w:webHidden/>
            <w:lang w:val="fr-BE"/>
          </w:rPr>
          <w:fldChar w:fldCharType="end"/>
        </w:r>
      </w:hyperlink>
    </w:p>
    <w:p w14:paraId="531A6695" w14:textId="3E352A45" w:rsidR="00F072AF" w:rsidRPr="00C57832" w:rsidRDefault="007D6E06" w:rsidP="002E6243">
      <w:pPr>
        <w:pStyle w:val="TM1"/>
        <w:tabs>
          <w:tab w:val="right" w:leader="dot" w:pos="9060"/>
        </w:tabs>
        <w:spacing w:after="0"/>
        <w:rPr>
          <w:rFonts w:eastAsiaTheme="minorEastAsia" w:cstheme="minorBidi"/>
          <w:b/>
          <w:sz w:val="22"/>
          <w:szCs w:val="22"/>
          <w:lang w:val="fr-BE" w:eastAsia="nl-BE"/>
        </w:rPr>
      </w:pPr>
      <w:hyperlink w:anchor="_Toc513197760" w:history="1">
        <w:r w:rsidR="00890802" w:rsidRPr="00C57832">
          <w:rPr>
            <w:rStyle w:val="Lienhypertexte"/>
            <w:rFonts w:eastAsia="Times New Roman"/>
            <w:b/>
            <w:lang w:val="fr-BE" w:eastAsia="nl-NL"/>
          </w:rPr>
          <w:t>PARTIE II : CLAUSES TECHNIQUES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_Toc513197760 \h </w:instrText>
        </w:r>
        <w:r w:rsidR="00F072AF" w:rsidRPr="00C57832">
          <w:rPr>
            <w:b/>
            <w:webHidden/>
            <w:lang w:val="fr-BE"/>
          </w:rPr>
        </w:r>
        <w:r w:rsidR="00F072AF" w:rsidRPr="00C57832">
          <w:rPr>
            <w:b/>
            <w:webHidden/>
            <w:lang w:val="fr-BE"/>
          </w:rPr>
          <w:fldChar w:fldCharType="separate"/>
        </w:r>
        <w:r w:rsidR="00890802" w:rsidRPr="00C57832">
          <w:rPr>
            <w:b/>
            <w:webHidden/>
            <w:lang w:val="fr-BE"/>
          </w:rPr>
          <w:t>30</w:t>
        </w:r>
        <w:r w:rsidR="00F072AF" w:rsidRPr="00C57832">
          <w:rPr>
            <w:b/>
            <w:webHidden/>
            <w:lang w:val="fr-BE"/>
          </w:rPr>
          <w:fldChar w:fldCharType="end"/>
        </w:r>
      </w:hyperlink>
    </w:p>
    <w:p w14:paraId="36DE3CDE" w14:textId="58CCE1AC" w:rsidR="00F072AF" w:rsidRPr="00C57832" w:rsidRDefault="007D6E06" w:rsidP="002E6243">
      <w:pPr>
        <w:pStyle w:val="TM2"/>
        <w:spacing w:after="0"/>
        <w:rPr>
          <w:rFonts w:eastAsiaTheme="minorEastAsia" w:cstheme="minorBidi"/>
          <w:b/>
          <w:sz w:val="22"/>
          <w:szCs w:val="22"/>
          <w:lang w:val="fr-BE" w:eastAsia="nl-BE"/>
        </w:rPr>
      </w:pPr>
      <w:hyperlink w:anchor="_Toc513197761" w:history="1">
        <w:r w:rsidR="00890802" w:rsidRPr="00C57832">
          <w:rPr>
            <w:rStyle w:val="Lienhypertexte"/>
            <w:b/>
            <w:lang w:val="fr-BE" w:eastAsia="nl-NL"/>
          </w:rPr>
          <w:t>ARTICLE 19 : DESCRIPTION DU MARCHE</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_Toc513197761 \h </w:instrText>
        </w:r>
        <w:r w:rsidR="00F072AF" w:rsidRPr="00C57832">
          <w:rPr>
            <w:b/>
            <w:webHidden/>
            <w:lang w:val="fr-BE"/>
          </w:rPr>
        </w:r>
        <w:r w:rsidR="00F072AF" w:rsidRPr="00C57832">
          <w:rPr>
            <w:b/>
            <w:webHidden/>
            <w:lang w:val="fr-BE"/>
          </w:rPr>
          <w:fldChar w:fldCharType="separate"/>
        </w:r>
        <w:r w:rsidR="00890802" w:rsidRPr="00C57832">
          <w:rPr>
            <w:b/>
            <w:webHidden/>
            <w:lang w:val="fr-BE"/>
          </w:rPr>
          <w:t>30</w:t>
        </w:r>
        <w:r w:rsidR="00F072AF" w:rsidRPr="00C57832">
          <w:rPr>
            <w:b/>
            <w:webHidden/>
            <w:lang w:val="fr-BE"/>
          </w:rPr>
          <w:fldChar w:fldCharType="end"/>
        </w:r>
      </w:hyperlink>
    </w:p>
    <w:p w14:paraId="06D1E938" w14:textId="588A39BE" w:rsidR="00F072AF" w:rsidRPr="00C57832" w:rsidRDefault="007D6E06" w:rsidP="002E6243">
      <w:pPr>
        <w:pStyle w:val="TM3"/>
        <w:spacing w:after="0"/>
        <w:rPr>
          <w:rFonts w:eastAsiaTheme="minorEastAsia" w:cstheme="minorBidi"/>
          <w:sz w:val="22"/>
          <w:szCs w:val="22"/>
          <w:lang w:val="fr-BE" w:eastAsia="nl-BE"/>
        </w:rPr>
      </w:pPr>
      <w:hyperlink w:anchor="_Toc513197762" w:history="1">
        <w:r w:rsidR="00890802" w:rsidRPr="00C57832">
          <w:rPr>
            <w:rStyle w:val="Lienhypertexte"/>
            <w:lang w:val="fr-BE" w:eastAsia="nl-NL"/>
          </w:rPr>
          <w:t>19.1. COLLECTE</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_Toc513197762 \h </w:instrText>
        </w:r>
        <w:r w:rsidR="00F072AF" w:rsidRPr="00C57832">
          <w:rPr>
            <w:webHidden/>
            <w:lang w:val="fr-BE"/>
          </w:rPr>
        </w:r>
        <w:r w:rsidR="00F072AF" w:rsidRPr="00C57832">
          <w:rPr>
            <w:webHidden/>
            <w:lang w:val="fr-BE"/>
          </w:rPr>
          <w:fldChar w:fldCharType="separate"/>
        </w:r>
        <w:r w:rsidR="00890802" w:rsidRPr="00C57832">
          <w:rPr>
            <w:webHidden/>
            <w:lang w:val="fr-BE"/>
          </w:rPr>
          <w:t>30</w:t>
        </w:r>
        <w:r w:rsidR="00F072AF" w:rsidRPr="00C57832">
          <w:rPr>
            <w:webHidden/>
            <w:lang w:val="fr-BE"/>
          </w:rPr>
          <w:fldChar w:fldCharType="end"/>
        </w:r>
      </w:hyperlink>
    </w:p>
    <w:p w14:paraId="3DECB148" w14:textId="5BF1A8DD" w:rsidR="00F072AF" w:rsidRPr="00C57832" w:rsidRDefault="007D6E06" w:rsidP="002E6243">
      <w:pPr>
        <w:pStyle w:val="TM3"/>
        <w:spacing w:after="0"/>
        <w:rPr>
          <w:rFonts w:eastAsiaTheme="minorEastAsia" w:cstheme="minorBidi"/>
          <w:sz w:val="22"/>
          <w:szCs w:val="22"/>
          <w:lang w:val="fr-BE" w:eastAsia="nl-BE"/>
        </w:rPr>
      </w:pPr>
      <w:hyperlink w:anchor="_Toc513197763" w:history="1">
        <w:r w:rsidR="00890802" w:rsidRPr="00C57832">
          <w:rPr>
            <w:rStyle w:val="Lienhypertexte"/>
            <w:lang w:val="fr-BE" w:eastAsia="nl-NL"/>
          </w:rPr>
          <w:t>19.2. TRANSPORT ET VERSAGE DES PMC VERS LE CENTRE DE TRI (OU LA STATION DE TRANSFERT)</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_Toc513197763 \h </w:instrText>
        </w:r>
        <w:r w:rsidR="00F072AF" w:rsidRPr="00C57832">
          <w:rPr>
            <w:webHidden/>
            <w:lang w:val="fr-BE"/>
          </w:rPr>
        </w:r>
        <w:r w:rsidR="00F072AF" w:rsidRPr="00C57832">
          <w:rPr>
            <w:webHidden/>
            <w:lang w:val="fr-BE"/>
          </w:rPr>
          <w:fldChar w:fldCharType="separate"/>
        </w:r>
        <w:r w:rsidR="00890802" w:rsidRPr="00C57832">
          <w:rPr>
            <w:webHidden/>
            <w:lang w:val="fr-BE"/>
          </w:rPr>
          <w:t>31</w:t>
        </w:r>
        <w:r w:rsidR="00F072AF" w:rsidRPr="00C57832">
          <w:rPr>
            <w:webHidden/>
            <w:lang w:val="fr-BE"/>
          </w:rPr>
          <w:fldChar w:fldCharType="end"/>
        </w:r>
      </w:hyperlink>
    </w:p>
    <w:p w14:paraId="3C59E9E1" w14:textId="497C5AE2" w:rsidR="00F072AF" w:rsidRPr="00C57832" w:rsidRDefault="007D6E06" w:rsidP="002E6243">
      <w:pPr>
        <w:pStyle w:val="TM3"/>
        <w:spacing w:after="0"/>
        <w:rPr>
          <w:rFonts w:eastAsiaTheme="minorEastAsia" w:cstheme="minorBidi"/>
          <w:sz w:val="22"/>
          <w:szCs w:val="22"/>
          <w:lang w:val="fr-BE" w:eastAsia="nl-BE"/>
        </w:rPr>
      </w:pPr>
      <w:hyperlink w:anchor="_Toc513197764" w:history="1">
        <w:r w:rsidR="00890802" w:rsidRPr="00C57832">
          <w:rPr>
            <w:rStyle w:val="Lienhypertexte"/>
            <w:lang w:val="fr-BE" w:eastAsia="nl-NL"/>
          </w:rPr>
          <w:t>19.3. PLACEMENT ET LOCATION DES CONTENEURS DANS LES RECYPARCS</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_Toc513197764 \h </w:instrText>
        </w:r>
        <w:r w:rsidR="00F072AF" w:rsidRPr="00C57832">
          <w:rPr>
            <w:webHidden/>
            <w:lang w:val="fr-BE"/>
          </w:rPr>
        </w:r>
        <w:r w:rsidR="00F072AF" w:rsidRPr="00C57832">
          <w:rPr>
            <w:webHidden/>
            <w:lang w:val="fr-BE"/>
          </w:rPr>
          <w:fldChar w:fldCharType="separate"/>
        </w:r>
        <w:r w:rsidR="00890802" w:rsidRPr="00C57832">
          <w:rPr>
            <w:webHidden/>
            <w:lang w:val="fr-BE"/>
          </w:rPr>
          <w:t>31</w:t>
        </w:r>
        <w:r w:rsidR="00F072AF" w:rsidRPr="00C57832">
          <w:rPr>
            <w:webHidden/>
            <w:lang w:val="fr-BE"/>
          </w:rPr>
          <w:fldChar w:fldCharType="end"/>
        </w:r>
      </w:hyperlink>
    </w:p>
    <w:p w14:paraId="606E2498" w14:textId="0EC9E554" w:rsidR="00F072AF" w:rsidRPr="00C57832" w:rsidRDefault="007D6E06" w:rsidP="002E6243">
      <w:pPr>
        <w:pStyle w:val="TM3"/>
        <w:spacing w:after="0"/>
        <w:rPr>
          <w:rFonts w:eastAsiaTheme="minorEastAsia" w:cstheme="minorBidi"/>
          <w:sz w:val="22"/>
          <w:szCs w:val="22"/>
          <w:lang w:val="fr-BE" w:eastAsia="nl-BE"/>
        </w:rPr>
      </w:pPr>
      <w:hyperlink w:anchor="_Toc513197765" w:history="1">
        <w:r w:rsidR="00890802" w:rsidRPr="00C57832">
          <w:rPr>
            <w:rStyle w:val="Lienhypertexte"/>
            <w:lang w:val="fr-BE" w:eastAsia="nl-NL"/>
          </w:rPr>
          <w:t>19.4. ÉVACUATION ET VERSAGE DES CONTENEURS DES RECYPARCS VERS LE CENTRE DE TRI (OU LA STATION DE TRANSFERT)</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_Toc513197765 \h </w:instrText>
        </w:r>
        <w:r w:rsidR="00F072AF" w:rsidRPr="00C57832">
          <w:rPr>
            <w:webHidden/>
            <w:lang w:val="fr-BE"/>
          </w:rPr>
        </w:r>
        <w:r w:rsidR="00F072AF" w:rsidRPr="00C57832">
          <w:rPr>
            <w:webHidden/>
            <w:lang w:val="fr-BE"/>
          </w:rPr>
          <w:fldChar w:fldCharType="separate"/>
        </w:r>
        <w:r w:rsidR="00890802" w:rsidRPr="00C57832">
          <w:rPr>
            <w:webHidden/>
            <w:lang w:val="fr-BE"/>
          </w:rPr>
          <w:t>31</w:t>
        </w:r>
        <w:r w:rsidR="00F072AF" w:rsidRPr="00C57832">
          <w:rPr>
            <w:webHidden/>
            <w:lang w:val="fr-BE"/>
          </w:rPr>
          <w:fldChar w:fldCharType="end"/>
        </w:r>
      </w:hyperlink>
    </w:p>
    <w:p w14:paraId="7C7EBC79" w14:textId="22218889" w:rsidR="00F072AF" w:rsidRPr="00C57832" w:rsidRDefault="007D6E06" w:rsidP="002E6243">
      <w:pPr>
        <w:pStyle w:val="TM2"/>
        <w:spacing w:after="0"/>
        <w:rPr>
          <w:rFonts w:eastAsiaTheme="minorEastAsia" w:cstheme="minorBidi"/>
          <w:sz w:val="22"/>
          <w:szCs w:val="22"/>
          <w:lang w:val="fr-BE" w:eastAsia="nl-BE"/>
        </w:rPr>
      </w:pPr>
      <w:hyperlink w:anchor="_Toc513197766" w:history="1">
        <w:r w:rsidR="00890802" w:rsidRPr="00C57832">
          <w:rPr>
            <w:rStyle w:val="Lienhypertexte"/>
            <w:b/>
            <w:lang w:val="fr-BE" w:eastAsia="nl-NL"/>
          </w:rPr>
          <w:t>ARTICLE 20 : QUANTITES ESTIMEES</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_Toc513197766 \h </w:instrText>
        </w:r>
        <w:r w:rsidR="00F072AF" w:rsidRPr="00C57832">
          <w:rPr>
            <w:webHidden/>
            <w:lang w:val="fr-BE"/>
          </w:rPr>
        </w:r>
        <w:r w:rsidR="00F072AF" w:rsidRPr="00C57832">
          <w:rPr>
            <w:webHidden/>
            <w:lang w:val="fr-BE"/>
          </w:rPr>
          <w:fldChar w:fldCharType="separate"/>
        </w:r>
        <w:r w:rsidR="00890802" w:rsidRPr="00C57832">
          <w:rPr>
            <w:webHidden/>
            <w:lang w:val="fr-BE"/>
          </w:rPr>
          <w:t>32</w:t>
        </w:r>
        <w:r w:rsidR="00F072AF" w:rsidRPr="00C57832">
          <w:rPr>
            <w:webHidden/>
            <w:lang w:val="fr-BE"/>
          </w:rPr>
          <w:fldChar w:fldCharType="end"/>
        </w:r>
      </w:hyperlink>
    </w:p>
    <w:p w14:paraId="25116552" w14:textId="0232870A" w:rsidR="00F072AF" w:rsidRPr="00C57832" w:rsidRDefault="007D6E06" w:rsidP="002E6243">
      <w:pPr>
        <w:pStyle w:val="TM3"/>
        <w:spacing w:after="0"/>
        <w:rPr>
          <w:rFonts w:eastAsiaTheme="minorEastAsia" w:cstheme="minorBidi"/>
          <w:sz w:val="22"/>
          <w:szCs w:val="22"/>
          <w:lang w:val="fr-BE" w:eastAsia="nl-BE"/>
        </w:rPr>
      </w:pPr>
      <w:hyperlink w:anchor="_Toc513197767" w:history="1">
        <w:r w:rsidR="00890802" w:rsidRPr="00C57832">
          <w:rPr>
            <w:rStyle w:val="Lienhypertexte"/>
            <w:lang w:val="fr-BE" w:eastAsia="nl-NL"/>
          </w:rPr>
          <w:t>20.1. COLLECTE DU PMC EN PORTE-A-PORTE (LOT 1)</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_Toc513197767 \h </w:instrText>
        </w:r>
        <w:r w:rsidR="00F072AF" w:rsidRPr="00C57832">
          <w:rPr>
            <w:webHidden/>
            <w:lang w:val="fr-BE"/>
          </w:rPr>
        </w:r>
        <w:r w:rsidR="00F072AF" w:rsidRPr="00C57832">
          <w:rPr>
            <w:webHidden/>
            <w:lang w:val="fr-BE"/>
          </w:rPr>
          <w:fldChar w:fldCharType="separate"/>
        </w:r>
        <w:r w:rsidR="00890802" w:rsidRPr="00C57832">
          <w:rPr>
            <w:webHidden/>
            <w:lang w:val="fr-BE"/>
          </w:rPr>
          <w:t>32</w:t>
        </w:r>
        <w:r w:rsidR="00F072AF" w:rsidRPr="00C57832">
          <w:rPr>
            <w:webHidden/>
            <w:lang w:val="fr-BE"/>
          </w:rPr>
          <w:fldChar w:fldCharType="end"/>
        </w:r>
      </w:hyperlink>
    </w:p>
    <w:p w14:paraId="2768BBE7" w14:textId="435AD002" w:rsidR="00F072AF" w:rsidRPr="00C57832" w:rsidRDefault="007D6E06" w:rsidP="002E6243">
      <w:pPr>
        <w:pStyle w:val="TM3"/>
        <w:spacing w:after="0"/>
        <w:rPr>
          <w:rFonts w:eastAsiaTheme="minorEastAsia" w:cstheme="minorBidi"/>
          <w:sz w:val="22"/>
          <w:szCs w:val="22"/>
          <w:lang w:val="fr-BE" w:eastAsia="nl-BE"/>
        </w:rPr>
      </w:pPr>
      <w:hyperlink w:anchor="_Toc513197768" w:history="1">
        <w:r w:rsidR="00890802" w:rsidRPr="00C57832">
          <w:rPr>
            <w:rStyle w:val="Lienhypertexte"/>
            <w:lang w:val="fr-BE" w:eastAsia="nl-NL"/>
          </w:rPr>
          <w:t>20.2. COLLECTE DU PMC SUR LES RECYPARCS (LOT 2)</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_Toc513197768 \h </w:instrText>
        </w:r>
        <w:r w:rsidR="00F072AF" w:rsidRPr="00C57832">
          <w:rPr>
            <w:webHidden/>
            <w:lang w:val="fr-BE"/>
          </w:rPr>
        </w:r>
        <w:r w:rsidR="00F072AF" w:rsidRPr="00C57832">
          <w:rPr>
            <w:webHidden/>
            <w:lang w:val="fr-BE"/>
          </w:rPr>
          <w:fldChar w:fldCharType="separate"/>
        </w:r>
        <w:r w:rsidR="00890802" w:rsidRPr="00C57832">
          <w:rPr>
            <w:webHidden/>
            <w:lang w:val="fr-BE"/>
          </w:rPr>
          <w:t>32</w:t>
        </w:r>
        <w:r w:rsidR="00F072AF" w:rsidRPr="00C57832">
          <w:rPr>
            <w:webHidden/>
            <w:lang w:val="fr-BE"/>
          </w:rPr>
          <w:fldChar w:fldCharType="end"/>
        </w:r>
      </w:hyperlink>
    </w:p>
    <w:p w14:paraId="77FD60D6" w14:textId="785B45AE" w:rsidR="00F072AF" w:rsidRPr="00C57832" w:rsidRDefault="007D6E06" w:rsidP="002E6243">
      <w:pPr>
        <w:pStyle w:val="TM2"/>
        <w:spacing w:after="0"/>
        <w:rPr>
          <w:rFonts w:eastAsiaTheme="minorEastAsia" w:cstheme="minorBidi"/>
          <w:sz w:val="22"/>
          <w:szCs w:val="22"/>
          <w:lang w:val="fr-BE" w:eastAsia="nl-BE"/>
        </w:rPr>
      </w:pPr>
      <w:hyperlink w:anchor="_Toc513197769" w:history="1">
        <w:r w:rsidR="00890802" w:rsidRPr="00C57832">
          <w:rPr>
            <w:rStyle w:val="Lienhypertexte"/>
            <w:b/>
            <w:lang w:val="fr-BE" w:eastAsia="nl-NL"/>
          </w:rPr>
          <w:t>ARTICLE 21 : DETERMINATION DES PRIX</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_Toc513197769 \h </w:instrText>
        </w:r>
        <w:r w:rsidR="00F072AF" w:rsidRPr="00C57832">
          <w:rPr>
            <w:webHidden/>
            <w:lang w:val="fr-BE"/>
          </w:rPr>
        </w:r>
        <w:r w:rsidR="00F072AF" w:rsidRPr="00C57832">
          <w:rPr>
            <w:webHidden/>
            <w:lang w:val="fr-BE"/>
          </w:rPr>
          <w:fldChar w:fldCharType="separate"/>
        </w:r>
        <w:r w:rsidR="00890802" w:rsidRPr="00C57832">
          <w:rPr>
            <w:webHidden/>
            <w:lang w:val="fr-BE"/>
          </w:rPr>
          <w:t>33</w:t>
        </w:r>
        <w:r w:rsidR="00F072AF" w:rsidRPr="00C57832">
          <w:rPr>
            <w:webHidden/>
            <w:lang w:val="fr-BE"/>
          </w:rPr>
          <w:fldChar w:fldCharType="end"/>
        </w:r>
      </w:hyperlink>
    </w:p>
    <w:p w14:paraId="4E78DC5D" w14:textId="6760B54E" w:rsidR="00F072AF" w:rsidRPr="00C57832" w:rsidRDefault="007D6E06" w:rsidP="002E6243">
      <w:pPr>
        <w:pStyle w:val="TM3"/>
        <w:spacing w:after="0"/>
        <w:rPr>
          <w:rFonts w:eastAsiaTheme="minorEastAsia" w:cstheme="minorBidi"/>
          <w:sz w:val="22"/>
          <w:szCs w:val="22"/>
          <w:lang w:val="fr-BE" w:eastAsia="nl-BE"/>
        </w:rPr>
      </w:pPr>
      <w:hyperlink w:anchor="_Toc513197770" w:history="1">
        <w:r w:rsidR="00890802" w:rsidRPr="00C57832">
          <w:rPr>
            <w:rStyle w:val="Lienhypertexte"/>
            <w:lang w:val="fr-BE" w:eastAsia="nl-NL"/>
          </w:rPr>
          <w:t>21.1. COLLECTE EN PORTE-A-PORTE, TRANSPORT ET VERSAGE DU PMC (LOT 1)</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_Toc513197770 \h </w:instrText>
        </w:r>
        <w:r w:rsidR="00F072AF" w:rsidRPr="00C57832">
          <w:rPr>
            <w:webHidden/>
            <w:lang w:val="fr-BE"/>
          </w:rPr>
        </w:r>
        <w:r w:rsidR="00F072AF" w:rsidRPr="00C57832">
          <w:rPr>
            <w:webHidden/>
            <w:lang w:val="fr-BE"/>
          </w:rPr>
          <w:fldChar w:fldCharType="separate"/>
        </w:r>
        <w:r w:rsidR="00890802" w:rsidRPr="00C57832">
          <w:rPr>
            <w:webHidden/>
            <w:lang w:val="fr-BE"/>
          </w:rPr>
          <w:t>33</w:t>
        </w:r>
        <w:r w:rsidR="00F072AF" w:rsidRPr="00C57832">
          <w:rPr>
            <w:webHidden/>
            <w:lang w:val="fr-BE"/>
          </w:rPr>
          <w:fldChar w:fldCharType="end"/>
        </w:r>
      </w:hyperlink>
    </w:p>
    <w:p w14:paraId="0DAAC7E9" w14:textId="00E83330" w:rsidR="00F072AF" w:rsidRPr="00C57832" w:rsidRDefault="007D6E06" w:rsidP="002E6243">
      <w:pPr>
        <w:pStyle w:val="TM3"/>
        <w:spacing w:after="0"/>
        <w:rPr>
          <w:rFonts w:eastAsiaTheme="minorEastAsia" w:cstheme="minorBidi"/>
          <w:sz w:val="22"/>
          <w:szCs w:val="22"/>
          <w:lang w:val="fr-BE" w:eastAsia="nl-BE"/>
        </w:rPr>
      </w:pPr>
      <w:hyperlink w:anchor="_Toc513197771" w:history="1">
        <w:r w:rsidR="00890802" w:rsidRPr="00C57832">
          <w:rPr>
            <w:rStyle w:val="Lienhypertexte"/>
            <w:lang w:val="fr-BE" w:eastAsia="nl-NL"/>
          </w:rPr>
          <w:t>21.2. PLACEMENT ET LOCATION DES CONTENEURS DANS LES RECYPARCS (LOT 2)</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_Toc513197771 \h </w:instrText>
        </w:r>
        <w:r w:rsidR="00F072AF" w:rsidRPr="00C57832">
          <w:rPr>
            <w:webHidden/>
            <w:lang w:val="fr-BE"/>
          </w:rPr>
        </w:r>
        <w:r w:rsidR="00F072AF" w:rsidRPr="00C57832">
          <w:rPr>
            <w:webHidden/>
            <w:lang w:val="fr-BE"/>
          </w:rPr>
          <w:fldChar w:fldCharType="separate"/>
        </w:r>
        <w:r w:rsidR="00890802" w:rsidRPr="00C57832">
          <w:rPr>
            <w:webHidden/>
            <w:lang w:val="fr-BE"/>
          </w:rPr>
          <w:t>34</w:t>
        </w:r>
        <w:r w:rsidR="00F072AF" w:rsidRPr="00C57832">
          <w:rPr>
            <w:webHidden/>
            <w:lang w:val="fr-BE"/>
          </w:rPr>
          <w:fldChar w:fldCharType="end"/>
        </w:r>
      </w:hyperlink>
    </w:p>
    <w:p w14:paraId="6BC3ED3D" w14:textId="6168E46B" w:rsidR="00F072AF" w:rsidRPr="00C57832" w:rsidRDefault="007D6E06" w:rsidP="002E6243">
      <w:pPr>
        <w:pStyle w:val="TM3"/>
        <w:spacing w:after="0"/>
        <w:rPr>
          <w:rFonts w:eastAsiaTheme="minorEastAsia" w:cstheme="minorBidi"/>
          <w:sz w:val="22"/>
          <w:szCs w:val="22"/>
          <w:lang w:val="fr-BE" w:eastAsia="nl-BE"/>
        </w:rPr>
      </w:pPr>
      <w:hyperlink w:anchor="_Toc513197772" w:history="1">
        <w:r w:rsidR="00890802" w:rsidRPr="00C57832">
          <w:rPr>
            <w:rStyle w:val="Lienhypertexte"/>
            <w:lang w:val="fr-BE" w:eastAsia="nl-NL"/>
          </w:rPr>
          <w:t>21.3. EVACUATION ET VERSAGE DES CONTENEURS VERS LE CENTRE DE TRI (OU LA STATION DE TRANSFERT) (LOT 2)</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_Toc513197772 \h </w:instrText>
        </w:r>
        <w:r w:rsidR="00F072AF" w:rsidRPr="00C57832">
          <w:rPr>
            <w:webHidden/>
            <w:lang w:val="fr-BE"/>
          </w:rPr>
        </w:r>
        <w:r w:rsidR="00F072AF" w:rsidRPr="00C57832">
          <w:rPr>
            <w:webHidden/>
            <w:lang w:val="fr-BE"/>
          </w:rPr>
          <w:fldChar w:fldCharType="separate"/>
        </w:r>
        <w:r w:rsidR="00890802" w:rsidRPr="00C57832">
          <w:rPr>
            <w:webHidden/>
            <w:lang w:val="fr-BE"/>
          </w:rPr>
          <w:t>34</w:t>
        </w:r>
        <w:r w:rsidR="00F072AF" w:rsidRPr="00C57832">
          <w:rPr>
            <w:webHidden/>
            <w:lang w:val="fr-BE"/>
          </w:rPr>
          <w:fldChar w:fldCharType="end"/>
        </w:r>
      </w:hyperlink>
    </w:p>
    <w:p w14:paraId="567134D2" w14:textId="5757062B" w:rsidR="00F072AF" w:rsidRPr="00C57832" w:rsidRDefault="007D6E06" w:rsidP="002E6243">
      <w:pPr>
        <w:pStyle w:val="TM2"/>
        <w:spacing w:after="0"/>
        <w:rPr>
          <w:rFonts w:eastAsiaTheme="minorEastAsia" w:cstheme="minorBidi"/>
          <w:b/>
          <w:sz w:val="22"/>
          <w:szCs w:val="22"/>
          <w:lang w:val="fr-BE" w:eastAsia="nl-BE"/>
        </w:rPr>
      </w:pPr>
      <w:hyperlink w:anchor="_Toc513197773" w:history="1">
        <w:r w:rsidR="00890802" w:rsidRPr="00C57832">
          <w:rPr>
            <w:rStyle w:val="Lienhypertexte"/>
            <w:b/>
            <w:lang w:val="fr-BE" w:eastAsia="nl-NL"/>
          </w:rPr>
          <w:t>ARTICLE 22 : ORIGINE ET NATURE DE LA FRACTION PMC A COLLECTER</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_Toc513197773 \h </w:instrText>
        </w:r>
        <w:r w:rsidR="00F072AF" w:rsidRPr="00C57832">
          <w:rPr>
            <w:b/>
            <w:webHidden/>
            <w:lang w:val="fr-BE"/>
          </w:rPr>
        </w:r>
        <w:r w:rsidR="00F072AF" w:rsidRPr="00C57832">
          <w:rPr>
            <w:b/>
            <w:webHidden/>
            <w:lang w:val="fr-BE"/>
          </w:rPr>
          <w:fldChar w:fldCharType="separate"/>
        </w:r>
        <w:r w:rsidR="00890802" w:rsidRPr="00C57832">
          <w:rPr>
            <w:b/>
            <w:webHidden/>
            <w:lang w:val="fr-BE"/>
          </w:rPr>
          <w:t>34</w:t>
        </w:r>
        <w:r w:rsidR="00F072AF" w:rsidRPr="00C57832">
          <w:rPr>
            <w:b/>
            <w:webHidden/>
            <w:lang w:val="fr-BE"/>
          </w:rPr>
          <w:fldChar w:fldCharType="end"/>
        </w:r>
      </w:hyperlink>
    </w:p>
    <w:p w14:paraId="50043946" w14:textId="5877E2E4" w:rsidR="00F072AF" w:rsidRPr="00C57832" w:rsidRDefault="007D6E06" w:rsidP="002E6243">
      <w:pPr>
        <w:pStyle w:val="TM2"/>
        <w:spacing w:after="0"/>
        <w:rPr>
          <w:rFonts w:eastAsiaTheme="minorEastAsia" w:cstheme="minorBidi"/>
          <w:b/>
          <w:sz w:val="22"/>
          <w:szCs w:val="22"/>
          <w:lang w:val="fr-BE" w:eastAsia="nl-BE"/>
        </w:rPr>
      </w:pPr>
      <w:hyperlink w:anchor="_Toc513197774" w:history="1">
        <w:r w:rsidR="00890802" w:rsidRPr="00C57832">
          <w:rPr>
            <w:rStyle w:val="Lienhypertexte"/>
            <w:b/>
            <w:lang w:val="fr-BE" w:eastAsia="nl-NL"/>
          </w:rPr>
          <w:t>ARTICLE 23 : QUALITE DU PMC</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_Toc513197774 \h </w:instrText>
        </w:r>
        <w:r w:rsidR="00F072AF" w:rsidRPr="00C57832">
          <w:rPr>
            <w:b/>
            <w:webHidden/>
            <w:lang w:val="fr-BE"/>
          </w:rPr>
        </w:r>
        <w:r w:rsidR="00F072AF" w:rsidRPr="00C57832">
          <w:rPr>
            <w:b/>
            <w:webHidden/>
            <w:lang w:val="fr-BE"/>
          </w:rPr>
          <w:fldChar w:fldCharType="separate"/>
        </w:r>
        <w:r w:rsidR="00890802" w:rsidRPr="00C57832">
          <w:rPr>
            <w:b/>
            <w:webHidden/>
            <w:lang w:val="fr-BE"/>
          </w:rPr>
          <w:t>35</w:t>
        </w:r>
        <w:r w:rsidR="00F072AF" w:rsidRPr="00C57832">
          <w:rPr>
            <w:b/>
            <w:webHidden/>
            <w:lang w:val="fr-BE"/>
          </w:rPr>
          <w:fldChar w:fldCharType="end"/>
        </w:r>
      </w:hyperlink>
    </w:p>
    <w:p w14:paraId="4D161C3A" w14:textId="58F59862" w:rsidR="00F072AF" w:rsidRPr="00C57832" w:rsidRDefault="007D6E06" w:rsidP="002E6243">
      <w:pPr>
        <w:pStyle w:val="TM2"/>
        <w:spacing w:after="0"/>
        <w:rPr>
          <w:rFonts w:eastAsiaTheme="minorEastAsia" w:cstheme="minorBidi"/>
          <w:b/>
          <w:sz w:val="22"/>
          <w:szCs w:val="22"/>
          <w:lang w:val="fr-BE" w:eastAsia="nl-BE"/>
        </w:rPr>
      </w:pPr>
      <w:hyperlink w:anchor="_Toc513197775" w:history="1">
        <w:r w:rsidR="00890802" w:rsidRPr="00C57832">
          <w:rPr>
            <w:rStyle w:val="Lienhypertexte"/>
            <w:b/>
            <w:lang w:val="fr-BE" w:eastAsia="nl-NL"/>
          </w:rPr>
          <w:t>ARTICLE 24 : EXIGENCES MINIMALES POUR LE PERSONNEL ET LES VEHICULES DE COLLECTE</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_Toc513197775 \h </w:instrText>
        </w:r>
        <w:r w:rsidR="00F072AF" w:rsidRPr="00C57832">
          <w:rPr>
            <w:b/>
            <w:webHidden/>
            <w:lang w:val="fr-BE"/>
          </w:rPr>
        </w:r>
        <w:r w:rsidR="00F072AF" w:rsidRPr="00C57832">
          <w:rPr>
            <w:b/>
            <w:webHidden/>
            <w:lang w:val="fr-BE"/>
          </w:rPr>
          <w:fldChar w:fldCharType="separate"/>
        </w:r>
        <w:r w:rsidR="00890802" w:rsidRPr="00C57832">
          <w:rPr>
            <w:b/>
            <w:webHidden/>
            <w:lang w:val="fr-BE"/>
          </w:rPr>
          <w:t>36</w:t>
        </w:r>
        <w:r w:rsidR="00F072AF" w:rsidRPr="00C57832">
          <w:rPr>
            <w:b/>
            <w:webHidden/>
            <w:lang w:val="fr-BE"/>
          </w:rPr>
          <w:fldChar w:fldCharType="end"/>
        </w:r>
      </w:hyperlink>
    </w:p>
    <w:p w14:paraId="6445C931" w14:textId="0D832BA6" w:rsidR="00F072AF" w:rsidRPr="00C57832" w:rsidRDefault="007D6E06" w:rsidP="002E6243">
      <w:pPr>
        <w:pStyle w:val="TM3"/>
        <w:spacing w:after="0"/>
        <w:rPr>
          <w:rFonts w:eastAsiaTheme="minorEastAsia" w:cstheme="minorBidi"/>
          <w:sz w:val="22"/>
          <w:szCs w:val="22"/>
          <w:lang w:val="fr-BE" w:eastAsia="nl-BE"/>
        </w:rPr>
      </w:pPr>
      <w:hyperlink w:anchor="_Toc513197776" w:history="1">
        <w:r w:rsidR="00890802" w:rsidRPr="00C57832">
          <w:rPr>
            <w:rStyle w:val="Lienhypertexte"/>
            <w:lang w:val="fr-BE"/>
          </w:rPr>
          <w:t>24.1. EXIGENCES MINIMALES POUR LES VEHICULES DE COLLECTE</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_Toc513197776 \h </w:instrText>
        </w:r>
        <w:r w:rsidR="00F072AF" w:rsidRPr="00C57832">
          <w:rPr>
            <w:webHidden/>
            <w:lang w:val="fr-BE"/>
          </w:rPr>
        </w:r>
        <w:r w:rsidR="00F072AF" w:rsidRPr="00C57832">
          <w:rPr>
            <w:webHidden/>
            <w:lang w:val="fr-BE"/>
          </w:rPr>
          <w:fldChar w:fldCharType="separate"/>
        </w:r>
        <w:r w:rsidR="00890802" w:rsidRPr="00C57832">
          <w:rPr>
            <w:webHidden/>
            <w:lang w:val="fr-BE"/>
          </w:rPr>
          <w:t>36</w:t>
        </w:r>
        <w:r w:rsidR="00F072AF" w:rsidRPr="00C57832">
          <w:rPr>
            <w:webHidden/>
            <w:lang w:val="fr-BE"/>
          </w:rPr>
          <w:fldChar w:fldCharType="end"/>
        </w:r>
      </w:hyperlink>
    </w:p>
    <w:p w14:paraId="64443AC2" w14:textId="2C56E57E" w:rsidR="00F072AF" w:rsidRPr="00C57832" w:rsidRDefault="007D6E06" w:rsidP="002E6243">
      <w:pPr>
        <w:pStyle w:val="TM3"/>
        <w:spacing w:after="0"/>
        <w:rPr>
          <w:rFonts w:eastAsiaTheme="minorEastAsia" w:cstheme="minorBidi"/>
          <w:sz w:val="22"/>
          <w:szCs w:val="22"/>
          <w:lang w:val="fr-BE" w:eastAsia="nl-BE"/>
        </w:rPr>
      </w:pPr>
      <w:hyperlink w:anchor="_Toc513197777" w:history="1">
        <w:r w:rsidR="00890802" w:rsidRPr="00C57832">
          <w:rPr>
            <w:rStyle w:val="Lienhypertexte"/>
            <w:lang w:val="fr-BE"/>
          </w:rPr>
          <w:t>24.2. EXIGENCES MINIMALES POUR LE PERSONNEL</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_Toc513197777 \h </w:instrText>
        </w:r>
        <w:r w:rsidR="00F072AF" w:rsidRPr="00C57832">
          <w:rPr>
            <w:webHidden/>
            <w:lang w:val="fr-BE"/>
          </w:rPr>
        </w:r>
        <w:r w:rsidR="00F072AF" w:rsidRPr="00C57832">
          <w:rPr>
            <w:webHidden/>
            <w:lang w:val="fr-BE"/>
          </w:rPr>
          <w:fldChar w:fldCharType="separate"/>
        </w:r>
        <w:r w:rsidR="00890802" w:rsidRPr="00C57832">
          <w:rPr>
            <w:webHidden/>
            <w:lang w:val="fr-BE"/>
          </w:rPr>
          <w:t>37</w:t>
        </w:r>
        <w:r w:rsidR="00F072AF" w:rsidRPr="00C57832">
          <w:rPr>
            <w:webHidden/>
            <w:lang w:val="fr-BE"/>
          </w:rPr>
          <w:fldChar w:fldCharType="end"/>
        </w:r>
      </w:hyperlink>
    </w:p>
    <w:p w14:paraId="288F1C24" w14:textId="60001040" w:rsidR="00F072AF" w:rsidRPr="00C57832" w:rsidRDefault="007D6E06" w:rsidP="002E6243">
      <w:pPr>
        <w:pStyle w:val="TM3"/>
        <w:spacing w:after="0"/>
        <w:rPr>
          <w:rFonts w:eastAsiaTheme="minorEastAsia" w:cstheme="minorBidi"/>
          <w:sz w:val="22"/>
          <w:szCs w:val="22"/>
          <w:lang w:val="fr-BE" w:eastAsia="nl-BE"/>
        </w:rPr>
      </w:pPr>
      <w:hyperlink w:anchor="_Toc513197778" w:history="1">
        <w:r w:rsidR="00890802" w:rsidRPr="00C57832">
          <w:rPr>
            <w:rStyle w:val="Lienhypertexte"/>
            <w:lang w:val="fr-BE"/>
          </w:rPr>
          <w:t>24.3. EXIGENCES MINIMALES POUR LA STATION DE TRANSFERT ÉVENTUELLE</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_Toc513197778 \h </w:instrText>
        </w:r>
        <w:r w:rsidR="00F072AF" w:rsidRPr="00C57832">
          <w:rPr>
            <w:webHidden/>
            <w:lang w:val="fr-BE"/>
          </w:rPr>
        </w:r>
        <w:r w:rsidR="00F072AF" w:rsidRPr="00C57832">
          <w:rPr>
            <w:webHidden/>
            <w:lang w:val="fr-BE"/>
          </w:rPr>
          <w:fldChar w:fldCharType="separate"/>
        </w:r>
        <w:r w:rsidR="00890802" w:rsidRPr="00C57832">
          <w:rPr>
            <w:webHidden/>
            <w:lang w:val="fr-BE"/>
          </w:rPr>
          <w:t>37</w:t>
        </w:r>
        <w:r w:rsidR="00F072AF" w:rsidRPr="00C57832">
          <w:rPr>
            <w:webHidden/>
            <w:lang w:val="fr-BE"/>
          </w:rPr>
          <w:fldChar w:fldCharType="end"/>
        </w:r>
      </w:hyperlink>
    </w:p>
    <w:p w14:paraId="153747A1" w14:textId="07C044D9" w:rsidR="00F072AF" w:rsidRPr="00C57832" w:rsidRDefault="007D6E06" w:rsidP="002E6243">
      <w:pPr>
        <w:pStyle w:val="TM2"/>
        <w:spacing w:after="0"/>
        <w:rPr>
          <w:rFonts w:eastAsiaTheme="minorEastAsia" w:cstheme="minorBidi"/>
          <w:b/>
          <w:sz w:val="22"/>
          <w:szCs w:val="22"/>
          <w:lang w:val="fr-BE" w:eastAsia="nl-BE"/>
        </w:rPr>
      </w:pPr>
      <w:hyperlink w:anchor="_Toc513197779" w:history="1">
        <w:r w:rsidR="00890802" w:rsidRPr="00C57832">
          <w:rPr>
            <w:rStyle w:val="Lienhypertexte"/>
            <w:b/>
            <w:lang w:val="fr-BE" w:eastAsia="nl-NL"/>
          </w:rPr>
          <w:t>ARTICLE 25 : SUIVI ADMINISTRATIF DE LA MISSION</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_Toc513197779 \h </w:instrText>
        </w:r>
        <w:r w:rsidR="00F072AF" w:rsidRPr="00C57832">
          <w:rPr>
            <w:b/>
            <w:webHidden/>
            <w:lang w:val="fr-BE"/>
          </w:rPr>
        </w:r>
        <w:r w:rsidR="00F072AF" w:rsidRPr="00C57832">
          <w:rPr>
            <w:b/>
            <w:webHidden/>
            <w:lang w:val="fr-BE"/>
          </w:rPr>
          <w:fldChar w:fldCharType="separate"/>
        </w:r>
        <w:r w:rsidR="00890802" w:rsidRPr="00C57832">
          <w:rPr>
            <w:b/>
            <w:webHidden/>
            <w:lang w:val="fr-BE"/>
          </w:rPr>
          <w:t>37</w:t>
        </w:r>
        <w:r w:rsidR="00F072AF" w:rsidRPr="00C57832">
          <w:rPr>
            <w:b/>
            <w:webHidden/>
            <w:lang w:val="fr-BE"/>
          </w:rPr>
          <w:fldChar w:fldCharType="end"/>
        </w:r>
      </w:hyperlink>
    </w:p>
    <w:p w14:paraId="04C3A7F6" w14:textId="1A494906" w:rsidR="00F072AF" w:rsidRPr="00C57832" w:rsidRDefault="007D6E06" w:rsidP="002E6243">
      <w:pPr>
        <w:pStyle w:val="TM2"/>
        <w:spacing w:after="0"/>
        <w:rPr>
          <w:rFonts w:eastAsiaTheme="minorEastAsia" w:cstheme="minorBidi"/>
          <w:b/>
          <w:sz w:val="22"/>
          <w:szCs w:val="22"/>
          <w:lang w:val="fr-BE" w:eastAsia="nl-BE"/>
        </w:rPr>
      </w:pPr>
      <w:hyperlink w:anchor="_Toc513197780" w:history="1">
        <w:r w:rsidR="00890802" w:rsidRPr="00C57832">
          <w:rPr>
            <w:rStyle w:val="Lienhypertexte"/>
            <w:b/>
            <w:lang w:val="fr-BE" w:eastAsia="nl-NL"/>
          </w:rPr>
          <w:t>ARTICLE 26 : FORMATIONS</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_Toc513197780 \h </w:instrText>
        </w:r>
        <w:r w:rsidR="00F072AF" w:rsidRPr="00C57832">
          <w:rPr>
            <w:b/>
            <w:webHidden/>
            <w:lang w:val="fr-BE"/>
          </w:rPr>
        </w:r>
        <w:r w:rsidR="00F072AF" w:rsidRPr="00C57832">
          <w:rPr>
            <w:b/>
            <w:webHidden/>
            <w:lang w:val="fr-BE"/>
          </w:rPr>
          <w:fldChar w:fldCharType="separate"/>
        </w:r>
        <w:r w:rsidR="00890802" w:rsidRPr="00C57832">
          <w:rPr>
            <w:b/>
            <w:webHidden/>
            <w:lang w:val="fr-BE"/>
          </w:rPr>
          <w:t>41</w:t>
        </w:r>
        <w:r w:rsidR="00F072AF" w:rsidRPr="00C57832">
          <w:rPr>
            <w:b/>
            <w:webHidden/>
            <w:lang w:val="fr-BE"/>
          </w:rPr>
          <w:fldChar w:fldCharType="end"/>
        </w:r>
      </w:hyperlink>
    </w:p>
    <w:p w14:paraId="610F2BE2" w14:textId="462F6497" w:rsidR="00F072AF" w:rsidRPr="00C57832" w:rsidRDefault="007D6E06" w:rsidP="002E6243">
      <w:pPr>
        <w:pStyle w:val="TM2"/>
        <w:spacing w:after="0"/>
        <w:rPr>
          <w:rFonts w:eastAsiaTheme="minorEastAsia" w:cstheme="minorBidi"/>
          <w:b/>
          <w:sz w:val="22"/>
          <w:szCs w:val="22"/>
          <w:lang w:val="fr-BE" w:eastAsia="nl-BE"/>
        </w:rPr>
      </w:pPr>
      <w:hyperlink w:anchor="_Toc513197781" w:history="1">
        <w:r w:rsidR="00890802" w:rsidRPr="00C57832">
          <w:rPr>
            <w:rStyle w:val="Lienhypertexte"/>
            <w:b/>
            <w:lang w:val="fr-BE" w:eastAsia="nl-NL"/>
          </w:rPr>
          <w:t>ARTICLE 27 : PROTECTION DE LA VIE PRIVEE</w:t>
        </w:r>
        <w:r w:rsidR="00890802" w:rsidRPr="00C57832">
          <w:rPr>
            <w:b/>
            <w:webHidden/>
            <w:lang w:val="fr-BE"/>
          </w:rPr>
          <w:tab/>
        </w:r>
        <w:r w:rsidR="00F072AF" w:rsidRPr="00C57832">
          <w:rPr>
            <w:b/>
            <w:webHidden/>
            <w:lang w:val="fr-BE"/>
          </w:rPr>
          <w:fldChar w:fldCharType="begin"/>
        </w:r>
        <w:r w:rsidR="00F072AF" w:rsidRPr="00C57832">
          <w:rPr>
            <w:b/>
            <w:webHidden/>
            <w:lang w:val="fr-BE"/>
          </w:rPr>
          <w:instrText xml:space="preserve"> PAGEREF _Toc513197781 \h </w:instrText>
        </w:r>
        <w:r w:rsidR="00F072AF" w:rsidRPr="00C57832">
          <w:rPr>
            <w:b/>
            <w:webHidden/>
            <w:lang w:val="fr-BE"/>
          </w:rPr>
        </w:r>
        <w:r w:rsidR="00F072AF" w:rsidRPr="00C57832">
          <w:rPr>
            <w:b/>
            <w:webHidden/>
            <w:lang w:val="fr-BE"/>
          </w:rPr>
          <w:fldChar w:fldCharType="separate"/>
        </w:r>
        <w:r w:rsidR="00890802" w:rsidRPr="00C57832">
          <w:rPr>
            <w:b/>
            <w:webHidden/>
            <w:lang w:val="fr-BE"/>
          </w:rPr>
          <w:t>41</w:t>
        </w:r>
        <w:r w:rsidR="00F072AF" w:rsidRPr="00C57832">
          <w:rPr>
            <w:b/>
            <w:webHidden/>
            <w:lang w:val="fr-BE"/>
          </w:rPr>
          <w:fldChar w:fldCharType="end"/>
        </w:r>
      </w:hyperlink>
    </w:p>
    <w:p w14:paraId="1E135AB0" w14:textId="7085F4C8" w:rsidR="00F072AF" w:rsidRPr="00C57832" w:rsidRDefault="007D6E06" w:rsidP="002E6243">
      <w:pPr>
        <w:pStyle w:val="TM1"/>
        <w:tabs>
          <w:tab w:val="right" w:leader="dot" w:pos="9060"/>
        </w:tabs>
        <w:spacing w:after="0"/>
        <w:rPr>
          <w:rFonts w:eastAsiaTheme="minorEastAsia" w:cstheme="minorBidi"/>
          <w:sz w:val="22"/>
          <w:szCs w:val="22"/>
          <w:lang w:val="fr-BE" w:eastAsia="nl-BE"/>
        </w:rPr>
      </w:pPr>
      <w:hyperlink w:anchor="_Toc513197782" w:history="1">
        <w:r w:rsidR="00890802" w:rsidRPr="00C57832">
          <w:rPr>
            <w:rStyle w:val="Lienhypertexte"/>
            <w:rFonts w:eastAsia="Times New Roman"/>
            <w:b/>
            <w:lang w:val="fr-BE" w:eastAsia="nl-NL"/>
          </w:rPr>
          <w:t>PARTIE III : ANNEXES</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_Toc513197782 \h </w:instrText>
        </w:r>
        <w:r w:rsidR="00F072AF" w:rsidRPr="00C57832">
          <w:rPr>
            <w:webHidden/>
            <w:lang w:val="fr-BE"/>
          </w:rPr>
        </w:r>
        <w:r w:rsidR="00F072AF" w:rsidRPr="00C57832">
          <w:rPr>
            <w:webHidden/>
            <w:lang w:val="fr-BE"/>
          </w:rPr>
          <w:fldChar w:fldCharType="separate"/>
        </w:r>
        <w:r w:rsidR="00890802" w:rsidRPr="00C57832">
          <w:rPr>
            <w:webHidden/>
            <w:lang w:val="fr-BE"/>
          </w:rPr>
          <w:t>42</w:t>
        </w:r>
        <w:r w:rsidR="00F072AF" w:rsidRPr="00C57832">
          <w:rPr>
            <w:webHidden/>
            <w:lang w:val="fr-BE"/>
          </w:rPr>
          <w:fldChar w:fldCharType="end"/>
        </w:r>
      </w:hyperlink>
    </w:p>
    <w:p w14:paraId="678AE6C1" w14:textId="34341519" w:rsidR="00F072AF" w:rsidRPr="00C57832" w:rsidRDefault="007D6E06" w:rsidP="002E6243">
      <w:pPr>
        <w:pStyle w:val="TM2"/>
        <w:spacing w:after="0"/>
        <w:rPr>
          <w:rFonts w:eastAsiaTheme="minorEastAsia" w:cstheme="minorBidi"/>
          <w:sz w:val="22"/>
          <w:szCs w:val="22"/>
          <w:lang w:val="fr-BE" w:eastAsia="nl-BE"/>
        </w:rPr>
      </w:pPr>
      <w:hyperlink w:anchor="_Toc513197783" w:history="1">
        <w:r w:rsidR="00890802" w:rsidRPr="00C57832">
          <w:rPr>
            <w:rStyle w:val="Lienhypertexte"/>
            <w:lang w:val="fr-BE"/>
          </w:rPr>
          <w:t>ANNEXE A: FORMULAIRE DE SOUMISSION</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_Toc513197783 \h </w:instrText>
        </w:r>
        <w:r w:rsidR="00F072AF" w:rsidRPr="00C57832">
          <w:rPr>
            <w:webHidden/>
            <w:lang w:val="fr-BE"/>
          </w:rPr>
        </w:r>
        <w:r w:rsidR="00F072AF" w:rsidRPr="00C57832">
          <w:rPr>
            <w:webHidden/>
            <w:lang w:val="fr-BE"/>
          </w:rPr>
          <w:fldChar w:fldCharType="separate"/>
        </w:r>
        <w:r w:rsidR="00890802" w:rsidRPr="00C57832">
          <w:rPr>
            <w:webHidden/>
            <w:lang w:val="fr-BE"/>
          </w:rPr>
          <w:t>43</w:t>
        </w:r>
        <w:r w:rsidR="00F072AF" w:rsidRPr="00C57832">
          <w:rPr>
            <w:webHidden/>
            <w:lang w:val="fr-BE"/>
          </w:rPr>
          <w:fldChar w:fldCharType="end"/>
        </w:r>
      </w:hyperlink>
    </w:p>
    <w:p w14:paraId="56C36BA1" w14:textId="7692B0E1" w:rsidR="00F072AF" w:rsidRPr="00C57832" w:rsidRDefault="007D6E06" w:rsidP="002E6243">
      <w:pPr>
        <w:pStyle w:val="TM2"/>
        <w:spacing w:after="0"/>
        <w:rPr>
          <w:rFonts w:eastAsiaTheme="minorEastAsia" w:cstheme="minorBidi"/>
          <w:sz w:val="22"/>
          <w:szCs w:val="22"/>
          <w:lang w:val="fr-BE" w:eastAsia="nl-BE"/>
        </w:rPr>
      </w:pPr>
      <w:hyperlink w:anchor="_Toc513197784" w:history="1">
        <w:r w:rsidR="00890802" w:rsidRPr="00C57832">
          <w:rPr>
            <w:rStyle w:val="Lienhypertexte"/>
            <w:lang w:val="fr-BE"/>
          </w:rPr>
          <w:t>ANNEXE B: INVENTAIRE</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_Toc513197784 \h </w:instrText>
        </w:r>
        <w:r w:rsidR="00F072AF" w:rsidRPr="00C57832">
          <w:rPr>
            <w:webHidden/>
            <w:lang w:val="fr-BE"/>
          </w:rPr>
        </w:r>
        <w:r w:rsidR="00F072AF" w:rsidRPr="00C57832">
          <w:rPr>
            <w:webHidden/>
            <w:lang w:val="fr-BE"/>
          </w:rPr>
          <w:fldChar w:fldCharType="separate"/>
        </w:r>
        <w:r w:rsidR="00890802" w:rsidRPr="00C57832">
          <w:rPr>
            <w:webHidden/>
            <w:lang w:val="fr-BE"/>
          </w:rPr>
          <w:t>44</w:t>
        </w:r>
        <w:r w:rsidR="00F072AF" w:rsidRPr="00C57832">
          <w:rPr>
            <w:webHidden/>
            <w:lang w:val="fr-BE"/>
          </w:rPr>
          <w:fldChar w:fldCharType="end"/>
        </w:r>
      </w:hyperlink>
    </w:p>
    <w:p w14:paraId="2204E073" w14:textId="40573B61" w:rsidR="00F072AF" w:rsidRPr="00C57832" w:rsidRDefault="007D6E06" w:rsidP="002E6243">
      <w:pPr>
        <w:pStyle w:val="TM2"/>
        <w:spacing w:after="0"/>
        <w:rPr>
          <w:rFonts w:eastAsiaTheme="minorEastAsia" w:cstheme="minorBidi"/>
          <w:sz w:val="22"/>
          <w:szCs w:val="22"/>
          <w:lang w:val="fr-BE" w:eastAsia="nl-BE"/>
        </w:rPr>
      </w:pPr>
      <w:hyperlink w:anchor="_Toc513197785" w:history="1">
        <w:r w:rsidR="00890802" w:rsidRPr="00C57832">
          <w:rPr>
            <w:rStyle w:val="Lienhypertexte"/>
            <w:lang w:val="fr-BE"/>
          </w:rPr>
          <w:t>ANNEXE C : COMMUNES QUI PARTICIPENT À CE MARCHÉ + TYPE DE CONTENEURS UTILISÉS + QUANTITÉS ESTIMÉES</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_Toc513197785 \h </w:instrText>
        </w:r>
        <w:r w:rsidR="00F072AF" w:rsidRPr="00C57832">
          <w:rPr>
            <w:webHidden/>
            <w:lang w:val="fr-BE"/>
          </w:rPr>
        </w:r>
        <w:r w:rsidR="00F072AF" w:rsidRPr="00C57832">
          <w:rPr>
            <w:webHidden/>
            <w:lang w:val="fr-BE"/>
          </w:rPr>
          <w:fldChar w:fldCharType="separate"/>
        </w:r>
        <w:r w:rsidR="00890802" w:rsidRPr="00C57832">
          <w:rPr>
            <w:webHidden/>
            <w:lang w:val="fr-BE"/>
          </w:rPr>
          <w:t>49</w:t>
        </w:r>
        <w:r w:rsidR="00F072AF" w:rsidRPr="00C57832">
          <w:rPr>
            <w:webHidden/>
            <w:lang w:val="fr-BE"/>
          </w:rPr>
          <w:fldChar w:fldCharType="end"/>
        </w:r>
      </w:hyperlink>
    </w:p>
    <w:p w14:paraId="302350E7" w14:textId="3C886E26" w:rsidR="00F072AF" w:rsidRPr="00C57832" w:rsidRDefault="007D6E06" w:rsidP="002E6243">
      <w:pPr>
        <w:pStyle w:val="TM2"/>
        <w:spacing w:after="0"/>
        <w:rPr>
          <w:rFonts w:eastAsiaTheme="minorEastAsia" w:cstheme="minorBidi"/>
          <w:sz w:val="22"/>
          <w:szCs w:val="22"/>
          <w:lang w:val="fr-BE" w:eastAsia="nl-BE"/>
        </w:rPr>
      </w:pPr>
      <w:hyperlink w:anchor="_Toc513197786" w:history="1">
        <w:r w:rsidR="00890802" w:rsidRPr="00C57832">
          <w:rPr>
            <w:rStyle w:val="Lienhypertexte"/>
            <w:lang w:val="fr-BE"/>
          </w:rPr>
          <w:t>ANNEXE D: SPECIFICATIONS DES PMC</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_Toc513197786 \h </w:instrText>
        </w:r>
        <w:r w:rsidR="00F072AF" w:rsidRPr="00C57832">
          <w:rPr>
            <w:webHidden/>
            <w:lang w:val="fr-BE"/>
          </w:rPr>
        </w:r>
        <w:r w:rsidR="00F072AF" w:rsidRPr="00C57832">
          <w:rPr>
            <w:webHidden/>
            <w:lang w:val="fr-BE"/>
          </w:rPr>
          <w:fldChar w:fldCharType="separate"/>
        </w:r>
        <w:r w:rsidR="00890802" w:rsidRPr="00C57832">
          <w:rPr>
            <w:webHidden/>
            <w:lang w:val="fr-BE"/>
          </w:rPr>
          <w:t>50</w:t>
        </w:r>
        <w:r w:rsidR="00F072AF" w:rsidRPr="00C57832">
          <w:rPr>
            <w:webHidden/>
            <w:lang w:val="fr-BE"/>
          </w:rPr>
          <w:fldChar w:fldCharType="end"/>
        </w:r>
      </w:hyperlink>
    </w:p>
    <w:p w14:paraId="55E37F70" w14:textId="2294222D" w:rsidR="00F072AF" w:rsidRPr="00C57832" w:rsidRDefault="007D6E06" w:rsidP="002E6243">
      <w:pPr>
        <w:pStyle w:val="TM2"/>
        <w:spacing w:after="0"/>
        <w:rPr>
          <w:rFonts w:eastAsiaTheme="minorEastAsia" w:cstheme="minorBidi"/>
          <w:sz w:val="22"/>
          <w:szCs w:val="22"/>
          <w:lang w:val="fr-BE" w:eastAsia="nl-BE"/>
        </w:rPr>
      </w:pPr>
      <w:hyperlink w:anchor="_Toc513197787" w:history="1">
        <w:r w:rsidR="00890802" w:rsidRPr="00C57832">
          <w:rPr>
            <w:rStyle w:val="Lienhypertexte"/>
            <w:lang w:val="fr-BE"/>
          </w:rPr>
          <w:t>ANNEXE E : PROCÉDURE POUR L’APPLICATION DES AMENDES ET PROCÉDURE DE CONSTATATION DES DÉFAUTS D’EXÉCUTION</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_Toc513197787 \h </w:instrText>
        </w:r>
        <w:r w:rsidR="00F072AF" w:rsidRPr="00C57832">
          <w:rPr>
            <w:webHidden/>
            <w:lang w:val="fr-BE"/>
          </w:rPr>
        </w:r>
        <w:r w:rsidR="00F072AF" w:rsidRPr="00C57832">
          <w:rPr>
            <w:webHidden/>
            <w:lang w:val="fr-BE"/>
          </w:rPr>
          <w:fldChar w:fldCharType="separate"/>
        </w:r>
        <w:r w:rsidR="00890802" w:rsidRPr="00C57832">
          <w:rPr>
            <w:webHidden/>
            <w:lang w:val="fr-BE"/>
          </w:rPr>
          <w:t>51</w:t>
        </w:r>
        <w:r w:rsidR="00F072AF" w:rsidRPr="00C57832">
          <w:rPr>
            <w:webHidden/>
            <w:lang w:val="fr-BE"/>
          </w:rPr>
          <w:fldChar w:fldCharType="end"/>
        </w:r>
      </w:hyperlink>
    </w:p>
    <w:p w14:paraId="139CDD82" w14:textId="4FEA5410" w:rsidR="00F072AF" w:rsidRPr="00C57832" w:rsidRDefault="007D6E06" w:rsidP="002E6243">
      <w:pPr>
        <w:pStyle w:val="TM2"/>
        <w:spacing w:after="0"/>
        <w:rPr>
          <w:rFonts w:eastAsiaTheme="minorEastAsia" w:cstheme="minorBidi"/>
          <w:sz w:val="22"/>
          <w:szCs w:val="22"/>
          <w:lang w:val="fr-BE" w:eastAsia="nl-BE"/>
        </w:rPr>
      </w:pPr>
      <w:hyperlink w:anchor="_Toc513197788" w:history="1">
        <w:r w:rsidR="00890802" w:rsidRPr="00C57832">
          <w:rPr>
            <w:rStyle w:val="Lienhypertexte"/>
            <w:lang w:val="fr-BE"/>
          </w:rPr>
          <w:t>ANNEXE F : DESCRIPTION DES CONTENEURS QUI SONT LA PROPRIÉTÉ DU POUVOIR ADJUDICATEUR/COMMUNES, Y COMPRIS UNE LISTE DES ADRESSES DE CES ENDROITS</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_Toc513197788 \h </w:instrText>
        </w:r>
        <w:r w:rsidR="00F072AF" w:rsidRPr="00C57832">
          <w:rPr>
            <w:webHidden/>
            <w:lang w:val="fr-BE"/>
          </w:rPr>
        </w:r>
        <w:r w:rsidR="00F072AF" w:rsidRPr="00C57832">
          <w:rPr>
            <w:webHidden/>
            <w:lang w:val="fr-BE"/>
          </w:rPr>
          <w:fldChar w:fldCharType="separate"/>
        </w:r>
        <w:r w:rsidR="00890802" w:rsidRPr="00C57832">
          <w:rPr>
            <w:webHidden/>
            <w:lang w:val="fr-BE"/>
          </w:rPr>
          <w:t>52</w:t>
        </w:r>
        <w:r w:rsidR="00F072AF" w:rsidRPr="00C57832">
          <w:rPr>
            <w:webHidden/>
            <w:lang w:val="fr-BE"/>
          </w:rPr>
          <w:fldChar w:fldCharType="end"/>
        </w:r>
      </w:hyperlink>
    </w:p>
    <w:p w14:paraId="03EA7456" w14:textId="6B21953A" w:rsidR="00F072AF" w:rsidRPr="00C57832" w:rsidRDefault="007D6E06" w:rsidP="002E6243">
      <w:pPr>
        <w:pStyle w:val="TM2"/>
        <w:spacing w:after="0"/>
        <w:rPr>
          <w:rFonts w:eastAsiaTheme="minorEastAsia" w:cstheme="minorBidi"/>
          <w:sz w:val="22"/>
          <w:szCs w:val="22"/>
          <w:lang w:val="fr-BE" w:eastAsia="nl-BE"/>
        </w:rPr>
      </w:pPr>
      <w:hyperlink w:anchor="_Toc513197789" w:history="1">
        <w:r w:rsidR="00890802" w:rsidRPr="00C57832">
          <w:rPr>
            <w:rStyle w:val="Lienhypertexte"/>
            <w:lang w:val="fr-BE"/>
          </w:rPr>
          <w:t>ANNEXE G : CHECKLIST DES INFORMATIONS ET DOCUMENTS À AJOUTER À L’OFFRE</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_Toc513197789 \h </w:instrText>
        </w:r>
        <w:r w:rsidR="00F072AF" w:rsidRPr="00C57832">
          <w:rPr>
            <w:webHidden/>
            <w:lang w:val="fr-BE"/>
          </w:rPr>
        </w:r>
        <w:r w:rsidR="00F072AF" w:rsidRPr="00C57832">
          <w:rPr>
            <w:webHidden/>
            <w:lang w:val="fr-BE"/>
          </w:rPr>
          <w:fldChar w:fldCharType="separate"/>
        </w:r>
        <w:r w:rsidR="00890802" w:rsidRPr="00C57832">
          <w:rPr>
            <w:webHidden/>
            <w:lang w:val="fr-BE"/>
          </w:rPr>
          <w:t>53</w:t>
        </w:r>
        <w:r w:rsidR="00F072AF" w:rsidRPr="00C57832">
          <w:rPr>
            <w:webHidden/>
            <w:lang w:val="fr-BE"/>
          </w:rPr>
          <w:fldChar w:fldCharType="end"/>
        </w:r>
      </w:hyperlink>
    </w:p>
    <w:p w14:paraId="547DABE2" w14:textId="71BE95A9" w:rsidR="00F072AF" w:rsidRPr="00C57832" w:rsidRDefault="007D6E06" w:rsidP="002E6243">
      <w:pPr>
        <w:pStyle w:val="TM2"/>
        <w:spacing w:after="0"/>
        <w:rPr>
          <w:rFonts w:eastAsiaTheme="minorEastAsia" w:cstheme="minorBidi"/>
          <w:sz w:val="22"/>
          <w:szCs w:val="22"/>
          <w:lang w:val="fr-BE" w:eastAsia="nl-BE"/>
        </w:rPr>
      </w:pPr>
      <w:hyperlink w:anchor="_Toc513197790" w:history="1">
        <w:r w:rsidR="00890802" w:rsidRPr="00C57832">
          <w:rPr>
            <w:rStyle w:val="Lienhypertexte"/>
            <w:lang w:val="fr-BE"/>
          </w:rPr>
          <w:t>ANNEXE H : DOCUMENT UNIQUE DE MARCHÉ EUROPÉEN (ART. 73 DE LA LOI SUR LES MARCHÉS PUBLICS)</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_Toc513197790 \h </w:instrText>
        </w:r>
        <w:r w:rsidR="00F072AF" w:rsidRPr="00C57832">
          <w:rPr>
            <w:webHidden/>
            <w:lang w:val="fr-BE"/>
          </w:rPr>
        </w:r>
        <w:r w:rsidR="00F072AF" w:rsidRPr="00C57832">
          <w:rPr>
            <w:webHidden/>
            <w:lang w:val="fr-BE"/>
          </w:rPr>
          <w:fldChar w:fldCharType="separate"/>
        </w:r>
        <w:r w:rsidR="00890802" w:rsidRPr="00C57832">
          <w:rPr>
            <w:webHidden/>
            <w:lang w:val="fr-BE"/>
          </w:rPr>
          <w:t>55</w:t>
        </w:r>
        <w:r w:rsidR="00F072AF" w:rsidRPr="00C57832">
          <w:rPr>
            <w:webHidden/>
            <w:lang w:val="fr-BE"/>
          </w:rPr>
          <w:fldChar w:fldCharType="end"/>
        </w:r>
      </w:hyperlink>
    </w:p>
    <w:p w14:paraId="7437D01F" w14:textId="7A4594E7" w:rsidR="00F072AF" w:rsidRPr="00C57832" w:rsidRDefault="007D6E06" w:rsidP="002E6243">
      <w:pPr>
        <w:pStyle w:val="TM2"/>
        <w:spacing w:after="0"/>
        <w:rPr>
          <w:rFonts w:eastAsiaTheme="minorEastAsia" w:cstheme="minorBidi"/>
          <w:sz w:val="22"/>
          <w:szCs w:val="22"/>
          <w:lang w:val="fr-BE" w:eastAsia="nl-BE"/>
        </w:rPr>
      </w:pPr>
      <w:hyperlink w:anchor="_Toc513197791" w:history="1">
        <w:r w:rsidR="00890802" w:rsidRPr="00C57832">
          <w:rPr>
            <w:rStyle w:val="Lienhypertexte"/>
            <w:lang w:val="fr-BE"/>
          </w:rPr>
          <w:t>ANNEXE I : MODÈLE DE DÉCLARATION BANCAIRE</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_Toc513197791 \h </w:instrText>
        </w:r>
        <w:r w:rsidR="00F072AF" w:rsidRPr="00C57832">
          <w:rPr>
            <w:webHidden/>
            <w:lang w:val="fr-BE"/>
          </w:rPr>
        </w:r>
        <w:r w:rsidR="00F072AF" w:rsidRPr="00C57832">
          <w:rPr>
            <w:webHidden/>
            <w:lang w:val="fr-BE"/>
          </w:rPr>
          <w:fldChar w:fldCharType="separate"/>
        </w:r>
        <w:r w:rsidR="00890802" w:rsidRPr="00C57832">
          <w:rPr>
            <w:webHidden/>
            <w:lang w:val="fr-BE"/>
          </w:rPr>
          <w:t>57</w:t>
        </w:r>
        <w:r w:rsidR="00F072AF" w:rsidRPr="00C57832">
          <w:rPr>
            <w:webHidden/>
            <w:lang w:val="fr-BE"/>
          </w:rPr>
          <w:fldChar w:fldCharType="end"/>
        </w:r>
      </w:hyperlink>
    </w:p>
    <w:p w14:paraId="1C3818FE" w14:textId="4ED670C2" w:rsidR="00F072AF" w:rsidRPr="00C57832" w:rsidRDefault="007D6E06" w:rsidP="002E6243">
      <w:pPr>
        <w:pStyle w:val="TM2"/>
        <w:spacing w:after="0"/>
        <w:rPr>
          <w:rFonts w:eastAsiaTheme="minorEastAsia" w:cstheme="minorBidi"/>
          <w:sz w:val="22"/>
          <w:szCs w:val="22"/>
          <w:lang w:val="fr-BE" w:eastAsia="nl-BE"/>
        </w:rPr>
      </w:pPr>
      <w:hyperlink w:anchor="_Toc513197792" w:history="1">
        <w:r w:rsidR="00890802" w:rsidRPr="00C57832">
          <w:rPr>
            <w:rStyle w:val="Lienhypertexte"/>
            <w:lang w:val="fr-BE"/>
          </w:rPr>
          <w:t>ANNEXE J : ENGAGEMENT DE MISE À DISPOSITION DE MOYENS</w:t>
        </w:r>
        <w:r w:rsidR="00890802" w:rsidRPr="00C57832">
          <w:rPr>
            <w:webHidden/>
            <w:lang w:val="fr-BE"/>
          </w:rPr>
          <w:tab/>
        </w:r>
        <w:r w:rsidR="00F072AF" w:rsidRPr="00C57832">
          <w:rPr>
            <w:webHidden/>
            <w:lang w:val="fr-BE"/>
          </w:rPr>
          <w:fldChar w:fldCharType="begin"/>
        </w:r>
        <w:r w:rsidR="00F072AF" w:rsidRPr="00C57832">
          <w:rPr>
            <w:webHidden/>
            <w:lang w:val="fr-BE"/>
          </w:rPr>
          <w:instrText xml:space="preserve"> PAGEREF _Toc513197792 \h </w:instrText>
        </w:r>
        <w:r w:rsidR="00F072AF" w:rsidRPr="00C57832">
          <w:rPr>
            <w:webHidden/>
            <w:lang w:val="fr-BE"/>
          </w:rPr>
        </w:r>
        <w:r w:rsidR="00F072AF" w:rsidRPr="00C57832">
          <w:rPr>
            <w:webHidden/>
            <w:lang w:val="fr-BE"/>
          </w:rPr>
          <w:fldChar w:fldCharType="separate"/>
        </w:r>
        <w:r w:rsidR="00890802" w:rsidRPr="00C57832">
          <w:rPr>
            <w:webHidden/>
            <w:lang w:val="fr-BE"/>
          </w:rPr>
          <w:t>58</w:t>
        </w:r>
        <w:r w:rsidR="00F072AF" w:rsidRPr="00C57832">
          <w:rPr>
            <w:webHidden/>
            <w:lang w:val="fr-BE"/>
          </w:rPr>
          <w:fldChar w:fldCharType="end"/>
        </w:r>
      </w:hyperlink>
    </w:p>
    <w:p w14:paraId="397C7D72" w14:textId="77777777" w:rsidR="006B4934" w:rsidRPr="00C57832" w:rsidRDefault="00306B75" w:rsidP="002E6243">
      <w:pPr>
        <w:pStyle w:val="TM1"/>
        <w:tabs>
          <w:tab w:val="right" w:leader="dot" w:pos="9060"/>
        </w:tabs>
        <w:spacing w:after="0"/>
        <w:rPr>
          <w:lang w:val="fr-BE"/>
        </w:rPr>
      </w:pPr>
      <w:r w:rsidRPr="00C57832">
        <w:rPr>
          <w:lang w:val="fr-BE"/>
        </w:rPr>
        <w:fldChar w:fldCharType="end"/>
      </w:r>
    </w:p>
    <w:p w14:paraId="397C7D73" w14:textId="77777777" w:rsidR="006B4934" w:rsidRPr="00C57832" w:rsidRDefault="006B4934">
      <w:pPr>
        <w:rPr>
          <w:lang w:val="fr-BE"/>
        </w:rPr>
      </w:pPr>
    </w:p>
    <w:p w14:paraId="397C7D74" w14:textId="77777777" w:rsidR="006B4934" w:rsidRPr="00C57832" w:rsidRDefault="006B4934">
      <w:pPr>
        <w:rPr>
          <w:lang w:val="fr-BE"/>
        </w:rPr>
        <w:sectPr w:rsidR="006B4934" w:rsidRPr="00C57832">
          <w:pgSz w:w="11906" w:h="16838" w:code="9"/>
          <w:pgMar w:top="1418" w:right="1418" w:bottom="1418" w:left="1418" w:header="709" w:footer="709" w:gutter="0"/>
          <w:cols w:space="708"/>
          <w:docGrid w:linePitch="360"/>
        </w:sectPr>
      </w:pPr>
    </w:p>
    <w:p w14:paraId="525C1CD6" w14:textId="6156B18E" w:rsidR="008D0025" w:rsidRPr="00C57832" w:rsidRDefault="008D0025">
      <w:pPr>
        <w:rPr>
          <w:lang w:val="fr-BE"/>
        </w:rPr>
      </w:pPr>
      <w:r w:rsidRPr="00C57832">
        <w:rPr>
          <w:lang w:val="fr-BE"/>
        </w:rPr>
        <w:lastRenderedPageBreak/>
        <w:t>DEROGATIONS AUX REGLES GENERALES D’EXECUTION</w:t>
      </w:r>
    </w:p>
    <w:p w14:paraId="397C7D76" w14:textId="3E072BD1" w:rsidR="006B4934" w:rsidRPr="00C57832" w:rsidRDefault="006B4934">
      <w:pPr>
        <w:rPr>
          <w:lang w:val="fr-BE"/>
        </w:rPr>
      </w:pPr>
      <w:r w:rsidRPr="00C57832">
        <w:rPr>
          <w:lang w:val="fr-BE"/>
        </w:rPr>
        <w:t xml:space="preserve">En application de l’article </w:t>
      </w:r>
      <w:r w:rsidR="00904F4C" w:rsidRPr="00C57832">
        <w:rPr>
          <w:lang w:val="fr-BE"/>
        </w:rPr>
        <w:t xml:space="preserve">9, § 4 </w:t>
      </w:r>
      <w:r w:rsidR="008850D9" w:rsidRPr="00C57832">
        <w:rPr>
          <w:lang w:val="fr-BE"/>
        </w:rPr>
        <w:t>AR Exécution</w:t>
      </w:r>
      <w:r w:rsidRPr="00C57832">
        <w:rPr>
          <w:lang w:val="fr-BE"/>
        </w:rPr>
        <w:t xml:space="preserve">, l’attention du soumissionnaire est portée sur le fait que le présent cahier des charges déroge aux </w:t>
      </w:r>
      <w:r w:rsidR="00904F4C" w:rsidRPr="00C57832">
        <w:rPr>
          <w:lang w:val="fr-BE"/>
        </w:rPr>
        <w:t xml:space="preserve">articles </w:t>
      </w:r>
      <w:r w:rsidR="00DC11F1" w:rsidRPr="00C57832">
        <w:rPr>
          <w:lang w:val="fr-BE"/>
        </w:rPr>
        <w:t>2</w:t>
      </w:r>
      <w:r w:rsidR="00904F4C" w:rsidRPr="00C57832">
        <w:rPr>
          <w:lang w:val="fr-BE"/>
        </w:rPr>
        <w:t xml:space="preserve">5, </w:t>
      </w:r>
      <w:r w:rsidR="00DC11F1" w:rsidRPr="00C57832">
        <w:rPr>
          <w:lang w:val="fr-BE"/>
        </w:rPr>
        <w:t>44, 72 et 160</w:t>
      </w:r>
      <w:r w:rsidR="00904F4C" w:rsidRPr="00C57832">
        <w:rPr>
          <w:lang w:val="fr-BE"/>
        </w:rPr>
        <w:t xml:space="preserve"> </w:t>
      </w:r>
      <w:r w:rsidR="008850D9" w:rsidRPr="00C57832">
        <w:rPr>
          <w:lang w:val="fr-BE"/>
        </w:rPr>
        <w:t xml:space="preserve">AR Exécution </w:t>
      </w:r>
      <w:r w:rsidRPr="00C57832">
        <w:rPr>
          <w:lang w:val="fr-BE"/>
        </w:rPr>
        <w:t xml:space="preserve">du fait des spécificités du </w:t>
      </w:r>
      <w:r w:rsidR="005E5746" w:rsidRPr="00C57832">
        <w:rPr>
          <w:lang w:val="fr-BE"/>
        </w:rPr>
        <w:t>Marché</w:t>
      </w:r>
      <w:r w:rsidRPr="00C57832">
        <w:rPr>
          <w:lang w:val="fr-BE"/>
        </w:rPr>
        <w:t>.</w:t>
      </w:r>
    </w:p>
    <w:p w14:paraId="397C7D77" w14:textId="2DACBC9A" w:rsidR="00523792" w:rsidRPr="00C57832" w:rsidRDefault="006B4934" w:rsidP="00C76C93">
      <w:pPr>
        <w:pStyle w:val="Listepuces"/>
        <w:tabs>
          <w:tab w:val="num" w:pos="1525"/>
        </w:tabs>
        <w:ind w:left="360" w:hanging="360"/>
        <w:rPr>
          <w:lang w:val="fr-BE"/>
        </w:rPr>
      </w:pPr>
      <w:r w:rsidRPr="00C57832">
        <w:rPr>
          <w:lang w:val="fr-BE"/>
        </w:rPr>
        <w:t xml:space="preserve">La prestation de services étant planifiée sur base annuelle, le montant du cautionnement (art. </w:t>
      </w:r>
      <w:r w:rsidR="00904F4C" w:rsidRPr="00C57832">
        <w:rPr>
          <w:lang w:val="fr-BE"/>
        </w:rPr>
        <w:t xml:space="preserve">25, § 2 </w:t>
      </w:r>
      <w:r w:rsidR="008850D9" w:rsidRPr="00C57832">
        <w:rPr>
          <w:lang w:val="fr-BE"/>
        </w:rPr>
        <w:t>AR Exécution</w:t>
      </w:r>
      <w:r w:rsidRPr="00C57832">
        <w:rPr>
          <w:lang w:val="fr-BE"/>
        </w:rPr>
        <w:t xml:space="preserve">) est fixé à 5% du montant du </w:t>
      </w:r>
      <w:r w:rsidR="005E5746" w:rsidRPr="00C57832">
        <w:rPr>
          <w:lang w:val="fr-BE"/>
        </w:rPr>
        <w:t>Marché</w:t>
      </w:r>
      <w:r w:rsidRPr="00C57832">
        <w:rPr>
          <w:lang w:val="fr-BE"/>
        </w:rPr>
        <w:t xml:space="preserve"> pour l'exécution du </w:t>
      </w:r>
      <w:r w:rsidR="005E5746" w:rsidRPr="00C57832">
        <w:rPr>
          <w:lang w:val="fr-BE"/>
        </w:rPr>
        <w:t>Marché</w:t>
      </w:r>
      <w:r w:rsidRPr="00C57832">
        <w:rPr>
          <w:lang w:val="fr-BE"/>
        </w:rPr>
        <w:t xml:space="preserve"> pendant 1 an.</w:t>
      </w:r>
      <w:r w:rsidR="00431B4D" w:rsidRPr="00C57832">
        <w:rPr>
          <w:lang w:val="fr-BE"/>
        </w:rPr>
        <w:t xml:space="preserve"> </w:t>
      </w:r>
    </w:p>
    <w:p w14:paraId="1D55DC9D" w14:textId="77777777" w:rsidR="002F230D" w:rsidRPr="00C57832" w:rsidRDefault="00523792" w:rsidP="002F230D">
      <w:pPr>
        <w:pStyle w:val="Listepuces"/>
        <w:tabs>
          <w:tab w:val="num" w:pos="1042"/>
        </w:tabs>
        <w:ind w:left="360" w:hanging="360"/>
        <w:rPr>
          <w:lang w:val="fr-BE"/>
        </w:rPr>
      </w:pPr>
      <w:r w:rsidRPr="00C57832">
        <w:rPr>
          <w:lang w:val="fr-BE"/>
        </w:rPr>
        <w:t>L</w:t>
      </w:r>
      <w:r w:rsidR="002B57A4" w:rsidRPr="00C57832">
        <w:rPr>
          <w:lang w:val="fr-BE"/>
        </w:rPr>
        <w:t>e prestataire de services doit</w:t>
      </w:r>
      <w:r w:rsidR="00A30849" w:rsidRPr="00C57832">
        <w:rPr>
          <w:lang w:val="fr-BE"/>
        </w:rPr>
        <w:t xml:space="preserve"> justifier la constitution de son cautionnement,</w:t>
      </w:r>
      <w:r w:rsidR="002B57A4" w:rsidRPr="00C57832">
        <w:rPr>
          <w:lang w:val="fr-BE"/>
        </w:rPr>
        <w:t xml:space="preserve"> dans un délai de </w:t>
      </w:r>
      <w:r w:rsidR="00A213EA" w:rsidRPr="00C57832">
        <w:rPr>
          <w:lang w:val="fr-BE"/>
        </w:rPr>
        <w:t xml:space="preserve">trente jours calendrier </w:t>
      </w:r>
      <w:r w:rsidR="002B57A4" w:rsidRPr="00C57832">
        <w:rPr>
          <w:lang w:val="fr-BE"/>
        </w:rPr>
        <w:t xml:space="preserve">suivant le jour de la conclusion du </w:t>
      </w:r>
      <w:r w:rsidR="005E5746" w:rsidRPr="00C57832">
        <w:rPr>
          <w:lang w:val="fr-BE"/>
        </w:rPr>
        <w:t>Marché</w:t>
      </w:r>
      <w:r w:rsidRPr="00C57832">
        <w:rPr>
          <w:lang w:val="fr-BE"/>
        </w:rPr>
        <w:t xml:space="preserve"> (art. </w:t>
      </w:r>
      <w:r w:rsidR="00AE59AD" w:rsidRPr="00C57832">
        <w:rPr>
          <w:lang w:val="fr-BE"/>
        </w:rPr>
        <w:t xml:space="preserve">27 </w:t>
      </w:r>
      <w:r w:rsidR="008850D9" w:rsidRPr="00C57832">
        <w:rPr>
          <w:lang w:val="fr-BE"/>
        </w:rPr>
        <w:t>AR Exécution</w:t>
      </w:r>
      <w:r w:rsidRPr="00C57832">
        <w:rPr>
          <w:lang w:val="fr-BE"/>
        </w:rPr>
        <w:t>)</w:t>
      </w:r>
      <w:r w:rsidR="002B57A4" w:rsidRPr="00C57832">
        <w:rPr>
          <w:lang w:val="fr-BE"/>
        </w:rPr>
        <w:t>,</w:t>
      </w:r>
      <w:r w:rsidR="00A30849" w:rsidRPr="00C57832">
        <w:rPr>
          <w:lang w:val="fr-BE"/>
        </w:rPr>
        <w:t xml:space="preserve"> </w:t>
      </w:r>
      <w:r w:rsidR="002B57A4" w:rsidRPr="00C57832">
        <w:rPr>
          <w:lang w:val="fr-BE"/>
        </w:rPr>
        <w:t>mais avant le début de la mission</w:t>
      </w:r>
      <w:r w:rsidR="00A30849" w:rsidRPr="00C57832">
        <w:rPr>
          <w:lang w:val="fr-BE"/>
        </w:rPr>
        <w:t xml:space="preserve"> relative au présent cahier des charges</w:t>
      </w:r>
      <w:r w:rsidR="002B57A4" w:rsidRPr="00C57832">
        <w:rPr>
          <w:lang w:val="fr-BE"/>
        </w:rPr>
        <w:t>.</w:t>
      </w:r>
      <w:r w:rsidR="00431B4D" w:rsidRPr="00C57832">
        <w:rPr>
          <w:lang w:val="fr-BE"/>
        </w:rPr>
        <w:t xml:space="preserve"> </w:t>
      </w:r>
      <w:r w:rsidR="00C82EB5" w:rsidRPr="00C57832">
        <w:rPr>
          <w:lang w:val="fr-BE"/>
        </w:rPr>
        <w:t>Ce</w:t>
      </w:r>
      <w:r w:rsidRPr="00C57832">
        <w:rPr>
          <w:lang w:val="fr-BE"/>
        </w:rPr>
        <w:t xml:space="preserve">tte </w:t>
      </w:r>
      <w:r w:rsidR="000C07C9" w:rsidRPr="00C57832">
        <w:rPr>
          <w:lang w:val="fr-BE"/>
        </w:rPr>
        <w:t xml:space="preserve">dérogation </w:t>
      </w:r>
      <w:r w:rsidRPr="00C57832">
        <w:rPr>
          <w:lang w:val="fr-BE"/>
        </w:rPr>
        <w:t>est</w:t>
      </w:r>
      <w:r w:rsidR="00C82EB5" w:rsidRPr="00C57832">
        <w:rPr>
          <w:lang w:val="fr-BE"/>
        </w:rPr>
        <w:t xml:space="preserve"> nécessaire du fait qu’il s’agi</w:t>
      </w:r>
      <w:r w:rsidR="003B40E4" w:rsidRPr="00C57832">
        <w:rPr>
          <w:lang w:val="fr-BE"/>
        </w:rPr>
        <w:t>t</w:t>
      </w:r>
      <w:r w:rsidR="00C82EB5" w:rsidRPr="00C57832">
        <w:rPr>
          <w:lang w:val="fr-BE"/>
        </w:rPr>
        <w:t xml:space="preserve"> d’une prestation de services aux citoyens à caractère public et que des problèmes de salubrité et de sécurité publique peuvent se poser</w:t>
      </w:r>
      <w:r w:rsidR="002B57A4" w:rsidRPr="00C57832">
        <w:rPr>
          <w:lang w:val="fr-BE"/>
        </w:rPr>
        <w:t>.</w:t>
      </w:r>
    </w:p>
    <w:p w14:paraId="3DF67472" w14:textId="3CEE58EC" w:rsidR="002F230D" w:rsidRPr="00C57832" w:rsidRDefault="006B4934" w:rsidP="002F230D">
      <w:pPr>
        <w:pStyle w:val="Listepuces"/>
        <w:tabs>
          <w:tab w:val="num" w:pos="1042"/>
        </w:tabs>
        <w:ind w:left="360" w:hanging="360"/>
        <w:rPr>
          <w:lang w:val="fr-BE"/>
        </w:rPr>
      </w:pPr>
      <w:r w:rsidRPr="00C57832">
        <w:rPr>
          <w:lang w:val="fr-BE"/>
        </w:rPr>
        <w:t xml:space="preserve">Du fait du suivi administratif spécifique nécessaire dans le cadre du présent </w:t>
      </w:r>
      <w:r w:rsidR="005E5746" w:rsidRPr="00C57832">
        <w:rPr>
          <w:lang w:val="fr-BE"/>
        </w:rPr>
        <w:t>Marché</w:t>
      </w:r>
      <w:r w:rsidR="00027A07" w:rsidRPr="00C57832">
        <w:rPr>
          <w:lang w:val="fr-BE"/>
        </w:rPr>
        <w:t xml:space="preserve">, des </w:t>
      </w:r>
      <w:r w:rsidRPr="00C57832">
        <w:rPr>
          <w:lang w:val="fr-BE"/>
        </w:rPr>
        <w:t>procédures spécifiques élaborées à cet effet</w:t>
      </w:r>
      <w:r w:rsidR="0057369C" w:rsidRPr="00C57832">
        <w:rPr>
          <w:lang w:val="fr-BE"/>
        </w:rPr>
        <w:t>,</w:t>
      </w:r>
      <w:r w:rsidR="00486C26" w:rsidRPr="00C57832">
        <w:rPr>
          <w:lang w:val="fr-BE"/>
        </w:rPr>
        <w:t xml:space="preserve"> ainsi que du paiement des factures du prestataire de </w:t>
      </w:r>
      <w:r w:rsidR="00486C26" w:rsidRPr="00364443">
        <w:rPr>
          <w:lang w:val="fr-BE"/>
        </w:rPr>
        <w:t xml:space="preserve">services par une 3ème partie, dénommée </w:t>
      </w:r>
      <w:proofErr w:type="spellStart"/>
      <w:r w:rsidR="00486C26" w:rsidRPr="00364443">
        <w:rPr>
          <w:lang w:val="fr-BE"/>
        </w:rPr>
        <w:t>Fost</w:t>
      </w:r>
      <w:proofErr w:type="spellEnd"/>
      <w:r w:rsidR="00486C26" w:rsidRPr="00364443">
        <w:rPr>
          <w:lang w:val="fr-BE"/>
        </w:rPr>
        <w:t xml:space="preserve"> Plus</w:t>
      </w:r>
      <w:r w:rsidRPr="00364443">
        <w:rPr>
          <w:lang w:val="fr-BE"/>
        </w:rPr>
        <w:t xml:space="preserve">, le délai de paiement des factures (art. </w:t>
      </w:r>
      <w:r w:rsidR="00904F4C" w:rsidRPr="00364443">
        <w:rPr>
          <w:lang w:val="fr-BE"/>
        </w:rPr>
        <w:t xml:space="preserve">160 </w:t>
      </w:r>
      <w:r w:rsidR="008850D9" w:rsidRPr="00364443">
        <w:rPr>
          <w:lang w:val="fr-BE"/>
        </w:rPr>
        <w:t>AR Exécution</w:t>
      </w:r>
      <w:r w:rsidRPr="00364443">
        <w:rPr>
          <w:lang w:val="fr-BE"/>
        </w:rPr>
        <w:t xml:space="preserve">) est fixé à trente jours </w:t>
      </w:r>
      <w:r w:rsidR="00904F4C" w:rsidRPr="00364443">
        <w:rPr>
          <w:lang w:val="fr-BE"/>
        </w:rPr>
        <w:t xml:space="preserve">calendrier </w:t>
      </w:r>
      <w:r w:rsidRPr="00364443">
        <w:rPr>
          <w:lang w:val="fr-BE"/>
        </w:rPr>
        <w:t>fin de mois</w:t>
      </w:r>
      <w:r w:rsidR="00364443" w:rsidRPr="00364443">
        <w:rPr>
          <w:lang w:val="fr-BE"/>
        </w:rPr>
        <w:t>.</w:t>
      </w:r>
    </w:p>
    <w:p w14:paraId="397C7D7A" w14:textId="2F4E0AE1" w:rsidR="00E46E13" w:rsidRPr="00C57832" w:rsidRDefault="006B4934" w:rsidP="00C76C93">
      <w:pPr>
        <w:pStyle w:val="Listepuces"/>
        <w:tabs>
          <w:tab w:val="num" w:pos="1042"/>
        </w:tabs>
        <w:ind w:left="360" w:hanging="360"/>
        <w:rPr>
          <w:lang w:val="fr-BE"/>
        </w:rPr>
      </w:pPr>
      <w:r w:rsidRPr="00C57832">
        <w:rPr>
          <w:lang w:val="fr-BE"/>
        </w:rPr>
        <w:t xml:space="preserve">Etant donné que la nature du </w:t>
      </w:r>
      <w:r w:rsidR="005E5746" w:rsidRPr="00C57832">
        <w:rPr>
          <w:lang w:val="fr-BE"/>
        </w:rPr>
        <w:t>Marché</w:t>
      </w:r>
      <w:r w:rsidRPr="00C57832">
        <w:rPr>
          <w:lang w:val="fr-BE"/>
        </w:rPr>
        <w:t xml:space="preserve"> exige une intervention rapide pour permettre au prestataire de services de réparer son manquement sans retard, la constatation de tout défaut d’exécution aux clauses du </w:t>
      </w:r>
      <w:r w:rsidR="005E5746" w:rsidRPr="00C57832">
        <w:rPr>
          <w:lang w:val="fr-BE"/>
        </w:rPr>
        <w:t>Marché</w:t>
      </w:r>
      <w:r w:rsidRPr="00C57832">
        <w:rPr>
          <w:lang w:val="fr-BE"/>
        </w:rPr>
        <w:t xml:space="preserve"> dans le chef du prestataire de services (art. </w:t>
      </w:r>
      <w:r w:rsidR="00904F4C" w:rsidRPr="00C57832">
        <w:rPr>
          <w:lang w:val="fr-BE"/>
        </w:rPr>
        <w:t xml:space="preserve">44 </w:t>
      </w:r>
      <w:r w:rsidR="008850D9" w:rsidRPr="00C57832">
        <w:rPr>
          <w:lang w:val="fr-BE"/>
        </w:rPr>
        <w:t>AR Exécution</w:t>
      </w:r>
      <w:r w:rsidRPr="00C57832">
        <w:rPr>
          <w:lang w:val="fr-BE"/>
        </w:rPr>
        <w:t>) peut être communiquée par le pouvoir adjudicateur</w:t>
      </w:r>
      <w:r w:rsidR="00FB73B9" w:rsidRPr="00C57832">
        <w:rPr>
          <w:lang w:val="fr-BE"/>
        </w:rPr>
        <w:t xml:space="preserve"> ou </w:t>
      </w:r>
      <w:proofErr w:type="spellStart"/>
      <w:r w:rsidR="00FB73B9" w:rsidRPr="00C57832">
        <w:rPr>
          <w:lang w:val="fr-BE"/>
        </w:rPr>
        <w:t>Fost</w:t>
      </w:r>
      <w:proofErr w:type="spellEnd"/>
      <w:r w:rsidR="00FB73B9" w:rsidRPr="00C57832">
        <w:rPr>
          <w:lang w:val="fr-BE"/>
        </w:rPr>
        <w:t xml:space="preserve"> Plus</w:t>
      </w:r>
      <w:r w:rsidR="000C07C9" w:rsidRPr="00C57832">
        <w:rPr>
          <w:lang w:val="fr-BE"/>
        </w:rPr>
        <w:t>,</w:t>
      </w:r>
      <w:r w:rsidRPr="00C57832">
        <w:rPr>
          <w:lang w:val="fr-BE"/>
        </w:rPr>
        <w:t xml:space="preserve"> par fax ou par e-mail</w:t>
      </w:r>
      <w:r w:rsidR="000C07C9" w:rsidRPr="00C57832">
        <w:rPr>
          <w:lang w:val="fr-BE"/>
        </w:rPr>
        <w:t>,</w:t>
      </w:r>
      <w:r w:rsidRPr="00C57832">
        <w:rPr>
          <w:lang w:val="fr-BE"/>
        </w:rPr>
        <w:t xml:space="preserve"> au prestataire de services</w:t>
      </w:r>
      <w:r w:rsidR="000C07C9" w:rsidRPr="00C57832">
        <w:rPr>
          <w:lang w:val="fr-BE"/>
        </w:rPr>
        <w:t>,</w:t>
      </w:r>
      <w:r w:rsidRPr="00C57832">
        <w:rPr>
          <w:lang w:val="fr-BE"/>
        </w:rPr>
        <w:t xml:space="preserve"> qui en confirme la réception </w:t>
      </w:r>
      <w:r w:rsidR="00027A07" w:rsidRPr="00C57832">
        <w:rPr>
          <w:lang w:val="fr-BE"/>
        </w:rPr>
        <w:t>et fait valoir ses moyens de défenses</w:t>
      </w:r>
      <w:r w:rsidR="000C07C9" w:rsidRPr="00C57832">
        <w:rPr>
          <w:lang w:val="fr-BE"/>
        </w:rPr>
        <w:t>,</w:t>
      </w:r>
      <w:r w:rsidR="00027A07" w:rsidRPr="00C57832">
        <w:rPr>
          <w:lang w:val="fr-BE"/>
        </w:rPr>
        <w:t xml:space="preserve"> </w:t>
      </w:r>
      <w:r w:rsidRPr="00C57832">
        <w:rPr>
          <w:lang w:val="fr-BE"/>
        </w:rPr>
        <w:t>par fax ou par e-mail, dans les 24 heures</w:t>
      </w:r>
      <w:r w:rsidR="00E46E13" w:rsidRPr="00C57832">
        <w:rPr>
          <w:lang w:val="fr-BE"/>
        </w:rPr>
        <w:t xml:space="preserve">. Cette </w:t>
      </w:r>
      <w:r w:rsidR="000C07C9" w:rsidRPr="00C57832">
        <w:rPr>
          <w:lang w:val="fr-BE"/>
        </w:rPr>
        <w:t xml:space="preserve">dérogation </w:t>
      </w:r>
      <w:r w:rsidR="00E46E13" w:rsidRPr="00C57832">
        <w:rPr>
          <w:lang w:val="fr-BE"/>
        </w:rPr>
        <w:t xml:space="preserve">est </w:t>
      </w:r>
      <w:r w:rsidR="004D6B6C" w:rsidRPr="00C57832">
        <w:rPr>
          <w:lang w:val="fr-BE"/>
        </w:rPr>
        <w:t>nécessaire</w:t>
      </w:r>
      <w:r w:rsidR="00E46E13" w:rsidRPr="00C57832">
        <w:rPr>
          <w:lang w:val="fr-BE"/>
        </w:rPr>
        <w:t xml:space="preserve"> </w:t>
      </w:r>
      <w:r w:rsidR="004D6B6C" w:rsidRPr="00C57832">
        <w:rPr>
          <w:lang w:val="fr-BE"/>
        </w:rPr>
        <w:t xml:space="preserve">du fait </w:t>
      </w:r>
      <w:r w:rsidR="00E46E13" w:rsidRPr="00C57832">
        <w:rPr>
          <w:lang w:val="fr-BE"/>
        </w:rPr>
        <w:t>qu’il s’agi</w:t>
      </w:r>
      <w:r w:rsidR="003B40E4" w:rsidRPr="00C57832">
        <w:rPr>
          <w:lang w:val="fr-BE"/>
        </w:rPr>
        <w:t>t</w:t>
      </w:r>
      <w:r w:rsidR="00E46E13" w:rsidRPr="00C57832">
        <w:rPr>
          <w:lang w:val="fr-BE"/>
        </w:rPr>
        <w:t xml:space="preserve"> d’une prestation de services </w:t>
      </w:r>
      <w:r w:rsidR="004D6B6C" w:rsidRPr="00C57832">
        <w:rPr>
          <w:lang w:val="fr-BE"/>
        </w:rPr>
        <w:t>aux citoyens à caractère public</w:t>
      </w:r>
      <w:r w:rsidR="000C07C9" w:rsidRPr="00C57832">
        <w:rPr>
          <w:lang w:val="fr-BE"/>
        </w:rPr>
        <w:t>,</w:t>
      </w:r>
      <w:r w:rsidR="00E46E13" w:rsidRPr="00C57832">
        <w:rPr>
          <w:lang w:val="fr-BE"/>
        </w:rPr>
        <w:t xml:space="preserve"> </w:t>
      </w:r>
      <w:r w:rsidR="004D6B6C" w:rsidRPr="00C57832">
        <w:rPr>
          <w:lang w:val="fr-BE"/>
        </w:rPr>
        <w:t xml:space="preserve">et </w:t>
      </w:r>
      <w:r w:rsidR="00E46E13" w:rsidRPr="00C57832">
        <w:rPr>
          <w:lang w:val="fr-BE"/>
        </w:rPr>
        <w:t xml:space="preserve">que des </w:t>
      </w:r>
      <w:r w:rsidR="00027A07" w:rsidRPr="00C57832">
        <w:rPr>
          <w:lang w:val="fr-BE"/>
        </w:rPr>
        <w:t>problèmes</w:t>
      </w:r>
      <w:r w:rsidR="00E46E13" w:rsidRPr="00C57832">
        <w:rPr>
          <w:lang w:val="fr-BE"/>
        </w:rPr>
        <w:t xml:space="preserve"> de </w:t>
      </w:r>
      <w:r w:rsidR="004D6B6C" w:rsidRPr="00C57832">
        <w:rPr>
          <w:lang w:val="fr-BE"/>
        </w:rPr>
        <w:t>salubrité</w:t>
      </w:r>
      <w:r w:rsidR="00E46E13" w:rsidRPr="00C57832">
        <w:rPr>
          <w:lang w:val="fr-BE"/>
        </w:rPr>
        <w:t xml:space="preserve"> et de sécurité publique peuvent se poser. </w:t>
      </w:r>
      <w:r w:rsidR="00027A07" w:rsidRPr="00C57832">
        <w:rPr>
          <w:lang w:val="fr-BE"/>
        </w:rPr>
        <w:t xml:space="preserve">Une </w:t>
      </w:r>
      <w:r w:rsidR="00E46E13" w:rsidRPr="00C57832">
        <w:rPr>
          <w:lang w:val="fr-BE"/>
        </w:rPr>
        <w:t xml:space="preserve">action rapide est </w:t>
      </w:r>
      <w:r w:rsidR="00027A07" w:rsidRPr="00C57832">
        <w:rPr>
          <w:lang w:val="fr-BE"/>
        </w:rPr>
        <w:t xml:space="preserve">donc </w:t>
      </w:r>
      <w:r w:rsidR="00E46E13" w:rsidRPr="00C57832">
        <w:rPr>
          <w:lang w:val="fr-BE"/>
        </w:rPr>
        <w:t xml:space="preserve">exigée pour que le prestataire de services puisse réparer </w:t>
      </w:r>
      <w:r w:rsidR="004D6B6C" w:rsidRPr="00C57832">
        <w:rPr>
          <w:lang w:val="fr-BE"/>
        </w:rPr>
        <w:t xml:space="preserve">immédiatement </w:t>
      </w:r>
      <w:r w:rsidR="00E46E13" w:rsidRPr="00C57832">
        <w:rPr>
          <w:lang w:val="fr-BE"/>
        </w:rPr>
        <w:t>s</w:t>
      </w:r>
      <w:r w:rsidR="00027A07" w:rsidRPr="00C57832">
        <w:rPr>
          <w:lang w:val="fr-BE"/>
        </w:rPr>
        <w:t>on manquement</w:t>
      </w:r>
      <w:r w:rsidR="002B57A4" w:rsidRPr="00C57832">
        <w:rPr>
          <w:lang w:val="fr-BE"/>
        </w:rPr>
        <w:t>.</w:t>
      </w:r>
    </w:p>
    <w:p w14:paraId="46ABF0EE" w14:textId="66E23BFC" w:rsidR="008D0025" w:rsidRPr="00364443" w:rsidRDefault="00E46E13" w:rsidP="008D0025">
      <w:pPr>
        <w:pStyle w:val="Listepuces"/>
        <w:tabs>
          <w:tab w:val="num" w:pos="1042"/>
        </w:tabs>
        <w:ind w:left="360" w:hanging="360"/>
        <w:rPr>
          <w:lang w:val="fr-BE"/>
        </w:rPr>
      </w:pPr>
      <w:r w:rsidRPr="00C57832">
        <w:rPr>
          <w:lang w:val="fr-BE"/>
        </w:rPr>
        <w:t>Le</w:t>
      </w:r>
      <w:r w:rsidR="003B40E4" w:rsidRPr="00C57832">
        <w:rPr>
          <w:lang w:val="fr-BE"/>
        </w:rPr>
        <w:t>s</w:t>
      </w:r>
      <w:r w:rsidRPr="00C57832">
        <w:rPr>
          <w:lang w:val="fr-BE"/>
        </w:rPr>
        <w:t xml:space="preserve"> montant</w:t>
      </w:r>
      <w:r w:rsidR="003B40E4" w:rsidRPr="00C57832">
        <w:rPr>
          <w:lang w:val="fr-BE"/>
        </w:rPr>
        <w:t>s</w:t>
      </w:r>
      <w:r w:rsidRPr="00C57832">
        <w:rPr>
          <w:lang w:val="fr-BE"/>
        </w:rPr>
        <w:t xml:space="preserve"> des amendes et pénalités spéciales ne seront pas en première instance retenus sur les montants </w:t>
      </w:r>
      <w:r w:rsidR="004D6B6C" w:rsidRPr="00C57832">
        <w:rPr>
          <w:lang w:val="fr-BE"/>
        </w:rPr>
        <w:t>dus</w:t>
      </w:r>
      <w:r w:rsidRPr="00C57832">
        <w:rPr>
          <w:lang w:val="fr-BE"/>
        </w:rPr>
        <w:t xml:space="preserve"> ou sur l</w:t>
      </w:r>
      <w:r w:rsidR="002B57A4" w:rsidRPr="00C57832">
        <w:rPr>
          <w:lang w:val="fr-BE"/>
        </w:rPr>
        <w:t>e</w:t>
      </w:r>
      <w:r w:rsidRPr="00C57832">
        <w:rPr>
          <w:lang w:val="fr-BE"/>
        </w:rPr>
        <w:t xml:space="preserve"> cautionnement (art. </w:t>
      </w:r>
      <w:r w:rsidR="00904F4C" w:rsidRPr="00C57832">
        <w:rPr>
          <w:lang w:val="fr-BE"/>
        </w:rPr>
        <w:t xml:space="preserve">72 </w:t>
      </w:r>
      <w:r w:rsidR="008850D9" w:rsidRPr="00C57832">
        <w:rPr>
          <w:lang w:val="fr-BE"/>
        </w:rPr>
        <w:t>AR Exécution</w:t>
      </w:r>
      <w:r w:rsidRPr="00C57832">
        <w:rPr>
          <w:lang w:val="fr-BE"/>
        </w:rPr>
        <w:t>), mais seront facturés séparément par la partie qui constate le manquement.</w:t>
      </w:r>
      <w:r w:rsidR="006B4934" w:rsidRPr="00C57832">
        <w:rPr>
          <w:lang w:val="fr-BE"/>
        </w:rPr>
        <w:t xml:space="preserve"> </w:t>
      </w:r>
      <w:r w:rsidR="00027A07" w:rsidRPr="00C57832">
        <w:rPr>
          <w:lang w:val="fr-BE"/>
        </w:rPr>
        <w:t xml:space="preserve">Cela découle du suivi administratif spécifique exigé dans le cadre de ce </w:t>
      </w:r>
      <w:r w:rsidR="005E5746" w:rsidRPr="00C57832">
        <w:rPr>
          <w:lang w:val="fr-BE"/>
        </w:rPr>
        <w:t>Marché</w:t>
      </w:r>
      <w:r w:rsidR="00027A07" w:rsidRPr="00C57832">
        <w:rPr>
          <w:lang w:val="fr-BE"/>
        </w:rPr>
        <w:t>, des procédures spécifiques qui y sont développées</w:t>
      </w:r>
      <w:r w:rsidR="0057369C" w:rsidRPr="00C57832">
        <w:rPr>
          <w:lang w:val="fr-BE"/>
        </w:rPr>
        <w:t>,</w:t>
      </w:r>
      <w:r w:rsidR="00027A07" w:rsidRPr="00C57832">
        <w:rPr>
          <w:lang w:val="fr-BE"/>
        </w:rPr>
        <w:t xml:space="preserve"> ainsi que du </w:t>
      </w:r>
      <w:r w:rsidR="00027A07" w:rsidRPr="00364443">
        <w:rPr>
          <w:lang w:val="fr-BE"/>
        </w:rPr>
        <w:t xml:space="preserve">paiement des factures du prestataire de services par une troisième partie, dénommée </w:t>
      </w:r>
      <w:proofErr w:type="spellStart"/>
      <w:r w:rsidR="00027A07" w:rsidRPr="00364443">
        <w:rPr>
          <w:lang w:val="fr-BE"/>
        </w:rPr>
        <w:t>Fost</w:t>
      </w:r>
      <w:proofErr w:type="spellEnd"/>
      <w:r w:rsidR="00027A07" w:rsidRPr="00364443">
        <w:rPr>
          <w:lang w:val="fr-BE"/>
        </w:rPr>
        <w:t xml:space="preserve"> Plus.</w:t>
      </w:r>
      <w:r w:rsidR="004815DA" w:rsidRPr="00364443">
        <w:rPr>
          <w:lang w:val="fr-BE"/>
        </w:rPr>
        <w:t xml:space="preserve"> </w:t>
      </w:r>
      <w:r w:rsidR="00C0490B" w:rsidRPr="00364443">
        <w:rPr>
          <w:lang w:val="fr-BE"/>
        </w:rPr>
        <w:t>En cas de non-paiement de la</w:t>
      </w:r>
      <w:r w:rsidR="004815DA" w:rsidRPr="00364443">
        <w:rPr>
          <w:lang w:val="fr-BE"/>
        </w:rPr>
        <w:t xml:space="preserve"> factur</w:t>
      </w:r>
      <w:r w:rsidR="00C0490B" w:rsidRPr="00364443">
        <w:rPr>
          <w:lang w:val="fr-BE"/>
        </w:rPr>
        <w:t>e dans les</w:t>
      </w:r>
      <w:r w:rsidR="004815DA" w:rsidRPr="00364443">
        <w:rPr>
          <w:lang w:val="fr-BE"/>
        </w:rPr>
        <w:t xml:space="preserve"> 30 </w:t>
      </w:r>
      <w:r w:rsidR="00C0490B" w:rsidRPr="00364443">
        <w:rPr>
          <w:lang w:val="fr-BE"/>
        </w:rPr>
        <w:t>jours calendrier,</w:t>
      </w:r>
      <w:r w:rsidR="0053549A" w:rsidRPr="00364443">
        <w:rPr>
          <w:lang w:val="fr-BE"/>
        </w:rPr>
        <w:t xml:space="preserve"> </w:t>
      </w:r>
      <w:r w:rsidR="00C0490B" w:rsidRPr="00364443">
        <w:rPr>
          <w:lang w:val="fr-BE"/>
        </w:rPr>
        <w:t xml:space="preserve">une retenue </w:t>
      </w:r>
      <w:r w:rsidR="00B3197A" w:rsidRPr="00364443">
        <w:rPr>
          <w:lang w:val="fr-BE"/>
        </w:rPr>
        <w:t xml:space="preserve">sera </w:t>
      </w:r>
      <w:r w:rsidR="00851006" w:rsidRPr="00364443">
        <w:rPr>
          <w:lang w:val="fr-BE"/>
        </w:rPr>
        <w:t>appliquée</w:t>
      </w:r>
      <w:r w:rsidR="00B3197A" w:rsidRPr="00364443">
        <w:rPr>
          <w:lang w:val="fr-BE"/>
        </w:rPr>
        <w:t xml:space="preserve"> </w:t>
      </w:r>
      <w:r w:rsidR="00C0490B" w:rsidRPr="00364443">
        <w:rPr>
          <w:lang w:val="fr-BE"/>
        </w:rPr>
        <w:t>sur les montants dus ou sur le cautionnement</w:t>
      </w:r>
      <w:r w:rsidR="004815DA" w:rsidRPr="00364443">
        <w:rPr>
          <w:lang w:val="fr-BE"/>
        </w:rPr>
        <w:t xml:space="preserve">, </w:t>
      </w:r>
      <w:r w:rsidR="00C0490B" w:rsidRPr="00364443">
        <w:rPr>
          <w:lang w:val="fr-BE"/>
        </w:rPr>
        <w:t>comme le prévoit</w:t>
      </w:r>
      <w:r w:rsidR="000026EF" w:rsidRPr="00364443">
        <w:rPr>
          <w:lang w:val="fr-BE"/>
        </w:rPr>
        <w:t xml:space="preserve"> l’AR Exécution</w:t>
      </w:r>
      <w:r w:rsidR="004815DA" w:rsidRPr="00364443">
        <w:rPr>
          <w:lang w:val="fr-BE"/>
        </w:rPr>
        <w:t>.</w:t>
      </w:r>
    </w:p>
    <w:p w14:paraId="5351E029" w14:textId="77777777" w:rsidR="008D0025" w:rsidRPr="00C57832" w:rsidRDefault="008D0025" w:rsidP="008D0025">
      <w:pPr>
        <w:spacing w:before="120"/>
        <w:jc w:val="both"/>
        <w:rPr>
          <w:b/>
          <w:u w:val="single"/>
          <w:lang w:val="fr-BE"/>
        </w:rPr>
      </w:pPr>
      <w:bookmarkStart w:id="5" w:name="_Toc513197728"/>
    </w:p>
    <w:p w14:paraId="01C52ED2" w14:textId="713D2F70" w:rsidR="008D0025" w:rsidRPr="00A541C4" w:rsidRDefault="008D0025" w:rsidP="008D0025">
      <w:pPr>
        <w:spacing w:before="120"/>
        <w:jc w:val="both"/>
        <w:rPr>
          <w:rFonts w:eastAsia="Times New Roman"/>
          <w:lang w:val="fr-FR" w:eastAsia="nl-NL"/>
        </w:rPr>
      </w:pPr>
      <w:r w:rsidRPr="00A541C4">
        <w:rPr>
          <w:rFonts w:eastAsia="Times New Roman"/>
          <w:lang w:val="fr-FR" w:eastAsia="nl-NL"/>
        </w:rPr>
        <w:t xml:space="preserve">DEVOIR DE SIGNALEMENT </w:t>
      </w:r>
    </w:p>
    <w:p w14:paraId="04A1DA80" w14:textId="77777777" w:rsidR="008D0025" w:rsidRPr="00C57832" w:rsidRDefault="008D0025" w:rsidP="008D0025">
      <w:pPr>
        <w:spacing w:before="120"/>
        <w:jc w:val="both"/>
        <w:rPr>
          <w:lang w:val="fr-BE"/>
        </w:rPr>
      </w:pPr>
      <w:r w:rsidRPr="00C57832">
        <w:rPr>
          <w:lang w:val="fr-BE"/>
        </w:rPr>
        <w:t xml:space="preserve">Si un soumissionnaire découvre, dans le cahier des charges et/ou les autres documents du Marché, des erreurs ou des lacunes qui sont de nature telle qu’elles rendraient impossible le calcul du prix ou la comparaison des offres, ou s’il a une ou plusieurs objections contre le contenu du cahier des charges ou de la procédure y décrite (erreurs, contradictions, illégalités, imprécisions, etc.), il doit le signaler immédiatement et par écrit à l’Adjudicateur, par lettre recommandée ET par e-mail (à l’adresse e-mail suivante : XXX), avec mention du motif et au plus tard dix (10) jours avant le jour limite de réception des offres. Après cette date, aucune plainte en la matière ne sera acceptée. </w:t>
      </w:r>
    </w:p>
    <w:p w14:paraId="50481A6C" w14:textId="77777777" w:rsidR="008D0025" w:rsidRPr="00C57832" w:rsidRDefault="008D0025" w:rsidP="008D0025">
      <w:pPr>
        <w:spacing w:before="120"/>
        <w:jc w:val="both"/>
        <w:rPr>
          <w:lang w:val="fr-BE"/>
        </w:rPr>
      </w:pPr>
      <w:r w:rsidRPr="00C57832">
        <w:rPr>
          <w:lang w:val="fr-BE"/>
        </w:rPr>
        <w:t xml:space="preserve">Si l’Adjudicateur ne reçoit aucune question ou remarque écrite dans le délai imparti, il est supposé que le soumissionnaire accepte entièrement et inconditionnellement le contenu du cahier des charges et des autres documents du Marché, et le soumissionnaire ne peut plus se prévaloir d’ambiguïtés, imprécisions, lacunes ou erreurs dans le cahier des charges et/ou dans les autres documents du Marché. </w:t>
      </w:r>
    </w:p>
    <w:p w14:paraId="792A7B5C" w14:textId="77777777" w:rsidR="008D0025" w:rsidRPr="00C57832" w:rsidRDefault="008D0025" w:rsidP="008D0025">
      <w:pPr>
        <w:spacing w:before="120"/>
        <w:jc w:val="both"/>
        <w:rPr>
          <w:lang w:val="fr-BE"/>
        </w:rPr>
      </w:pPr>
      <w:r w:rsidRPr="00C57832">
        <w:rPr>
          <w:lang w:val="fr-BE"/>
        </w:rPr>
        <w:t xml:space="preserve">Cela implique aussi que, par la simple inscription à ce Marché, le soumissionnaire fait à l’Adjudicateur une offre visant à l'exécution du Marché repris dans le présent cahier des charges aux conditions mentionnées dans celui-ci. Si le soumissionnaire est choisi pour l’exécution de ce Marché, il sera tenu </w:t>
      </w:r>
      <w:r w:rsidRPr="00C57832">
        <w:rPr>
          <w:lang w:val="fr-BE"/>
        </w:rPr>
        <w:lastRenderedPageBreak/>
        <w:t xml:space="preserve">d’exécuter celui-ci aux conditions du présent cahier des charges sans qu’il soit nécessaire de tenir d’autres négociations contractuelles ou de conclure d’autres conventions. </w:t>
      </w:r>
    </w:p>
    <w:p w14:paraId="6DCB7D0B" w14:textId="77777777" w:rsidR="008D0025" w:rsidRPr="00C57832" w:rsidRDefault="008D0025" w:rsidP="008D0025">
      <w:pPr>
        <w:spacing w:before="120"/>
        <w:jc w:val="both"/>
        <w:rPr>
          <w:lang w:val="fr-BE"/>
        </w:rPr>
      </w:pPr>
    </w:p>
    <w:p w14:paraId="3288FC51" w14:textId="77777777" w:rsidR="008D0025" w:rsidRPr="00C57832" w:rsidRDefault="008D0025" w:rsidP="008D0025">
      <w:pPr>
        <w:spacing w:before="120"/>
        <w:jc w:val="both"/>
        <w:rPr>
          <w:lang w:val="fr-BE"/>
        </w:rPr>
      </w:pPr>
      <w:r w:rsidRPr="00C57832">
        <w:rPr>
          <w:lang w:val="fr-BE"/>
        </w:rPr>
        <w:t xml:space="preserve">CONFIDENTIALITÉ </w:t>
      </w:r>
    </w:p>
    <w:p w14:paraId="4C4489DD" w14:textId="77777777" w:rsidR="008D0025" w:rsidRPr="00C57832" w:rsidRDefault="008D0025" w:rsidP="008D0025">
      <w:pPr>
        <w:spacing w:before="120"/>
        <w:jc w:val="both"/>
        <w:rPr>
          <w:lang w:val="fr-BE"/>
        </w:rPr>
      </w:pPr>
      <w:r w:rsidRPr="00C57832">
        <w:rPr>
          <w:lang w:val="fr-BE"/>
        </w:rPr>
        <w:t xml:space="preserve">Le présent Cahier des charges est publié uniquement pour donner aux soumissionnaires intéressés la possibilité de remettre une offre. Toute autre utilisation du Cahier des charges est donc strictement interdite, sauf autorisation expresse écrite de l’Adjudicateur. </w:t>
      </w:r>
    </w:p>
    <w:p w14:paraId="7C69C656" w14:textId="77777777" w:rsidR="008D0025" w:rsidRPr="00C57832" w:rsidRDefault="008D0025" w:rsidP="008D0025">
      <w:pPr>
        <w:spacing w:before="120"/>
        <w:jc w:val="both"/>
        <w:rPr>
          <w:lang w:val="fr-BE"/>
        </w:rPr>
      </w:pPr>
      <w:r w:rsidRPr="00C57832">
        <w:rPr>
          <w:lang w:val="fr-BE"/>
        </w:rPr>
        <w:t xml:space="preserve">Toutes les informations contenues dans le présent Cahier des charges sont la propriété de l’Adjudicateur et doivent donc être traitées en toute confidentialité. Les informations ne peuvent à aucun </w:t>
      </w:r>
      <w:r w:rsidRPr="00A541C4">
        <w:rPr>
          <w:rFonts w:eastAsia="Times New Roman"/>
          <w:lang w:val="fr-FR" w:eastAsia="nl-NL"/>
        </w:rPr>
        <w:t>moment</w:t>
      </w:r>
      <w:r w:rsidRPr="00C57832">
        <w:rPr>
          <w:lang w:val="fr-BE"/>
        </w:rPr>
        <w:t xml:space="preserve"> être diffusées sans l’autorisation expresse de l’Adjudicateur. </w:t>
      </w:r>
    </w:p>
    <w:p w14:paraId="00EAD665" w14:textId="77777777" w:rsidR="008D0025" w:rsidRPr="00C57832" w:rsidRDefault="008D0025" w:rsidP="008D0025">
      <w:pPr>
        <w:spacing w:before="120"/>
        <w:jc w:val="both"/>
        <w:rPr>
          <w:lang w:val="fr-BE"/>
        </w:rPr>
      </w:pPr>
    </w:p>
    <w:p w14:paraId="4C2F8BA0" w14:textId="77777777" w:rsidR="008D0025" w:rsidRPr="0080137A" w:rsidRDefault="008D0025" w:rsidP="008D0025">
      <w:pPr>
        <w:spacing w:before="120"/>
        <w:jc w:val="both"/>
        <w:rPr>
          <w:lang w:val="fr-BE"/>
        </w:rPr>
      </w:pPr>
      <w:r w:rsidRPr="0080137A">
        <w:rPr>
          <w:lang w:val="fr-BE"/>
        </w:rPr>
        <w:t>NON-ATTRIBUTION (article 85 de la Loi relative aux marchés publics)</w:t>
      </w:r>
    </w:p>
    <w:p w14:paraId="570C5609" w14:textId="77777777" w:rsidR="008D0025" w:rsidRPr="00C57832" w:rsidRDefault="008D0025" w:rsidP="008D0025">
      <w:pPr>
        <w:spacing w:before="120"/>
        <w:jc w:val="both"/>
        <w:rPr>
          <w:lang w:val="fr-BE"/>
        </w:rPr>
      </w:pPr>
      <w:r w:rsidRPr="00C57832">
        <w:rPr>
          <w:lang w:val="fr-BE"/>
        </w:rPr>
        <w:t xml:space="preserve">L’Adjudicateur n’est pas tenu d’octroyer ou de conclure le Marché. Il se réserve le droit de s’abstenir, de manière motivée, d’attribuer ou de conclure le Marché, ou de recommencer la procédure, au besoin d’une autre manière. </w:t>
      </w:r>
    </w:p>
    <w:p w14:paraId="0F4D8591" w14:textId="77777777" w:rsidR="008D0025" w:rsidRPr="00C57832" w:rsidRDefault="008D0025" w:rsidP="008D0025">
      <w:pPr>
        <w:spacing w:before="120"/>
        <w:jc w:val="both"/>
        <w:rPr>
          <w:lang w:val="fr-BE"/>
        </w:rPr>
      </w:pPr>
      <w:r w:rsidRPr="00C57832">
        <w:rPr>
          <w:lang w:val="fr-BE"/>
        </w:rPr>
        <w:t xml:space="preserve">L’Adjudicateur se réserve également le droit de transférer la procédure d’octroi du Marché à un autre pouvoir (par exemple les intercommunales concernées par ce marché). </w:t>
      </w:r>
    </w:p>
    <w:p w14:paraId="6C6C1033" w14:textId="66C00D5B" w:rsidR="008D0025" w:rsidRPr="00C57832" w:rsidRDefault="0080137A" w:rsidP="00084048">
      <w:pPr>
        <w:pStyle w:val="Titre2"/>
        <w:rPr>
          <w:rFonts w:eastAsia="Times New Roman"/>
          <w:lang w:val="fr-BE" w:eastAsia="nl-NL"/>
        </w:rPr>
      </w:pPr>
      <w:r>
        <w:rPr>
          <w:rFonts w:eastAsia="Times New Roman"/>
          <w:lang w:val="fr-BE" w:eastAsia="nl-NL"/>
        </w:rPr>
        <w:t xml:space="preserve">PARTIE I </w:t>
      </w:r>
      <w:r w:rsidR="008D0025" w:rsidRPr="00C57832">
        <w:rPr>
          <w:rFonts w:eastAsia="Times New Roman"/>
          <w:lang w:val="fr-BE" w:eastAsia="nl-NL"/>
        </w:rPr>
        <w:t>DISPOSITIONS GÉNÉRALES</w:t>
      </w:r>
    </w:p>
    <w:p w14:paraId="397C7D7C" w14:textId="5F416FD4" w:rsidR="00084048" w:rsidRPr="0080137A" w:rsidRDefault="00084048" w:rsidP="00BB166A">
      <w:pPr>
        <w:pStyle w:val="Titre2"/>
        <w:numPr>
          <w:ilvl w:val="0"/>
          <w:numId w:val="24"/>
        </w:numPr>
        <w:rPr>
          <w:rFonts w:eastAsia="Times New Roman"/>
          <w:b/>
          <w:iCs w:val="0"/>
          <w:kern w:val="32"/>
          <w:szCs w:val="24"/>
          <w:lang w:eastAsia="nl-NL"/>
        </w:rPr>
      </w:pPr>
      <w:proofErr w:type="spellStart"/>
      <w:r w:rsidRPr="0080137A">
        <w:rPr>
          <w:rFonts w:eastAsia="Times New Roman"/>
          <w:b/>
          <w:iCs w:val="0"/>
          <w:kern w:val="32"/>
          <w:szCs w:val="24"/>
          <w:lang w:eastAsia="nl-NL"/>
        </w:rPr>
        <w:t>Préalable</w:t>
      </w:r>
      <w:proofErr w:type="spellEnd"/>
      <w:r w:rsidRPr="0080137A">
        <w:rPr>
          <w:rFonts w:eastAsia="Times New Roman"/>
          <w:b/>
          <w:iCs w:val="0"/>
          <w:kern w:val="32"/>
          <w:szCs w:val="24"/>
          <w:lang w:eastAsia="nl-NL"/>
        </w:rPr>
        <w:t xml:space="preserve"> : </w:t>
      </w:r>
      <w:proofErr w:type="spellStart"/>
      <w:r w:rsidR="005E76CA" w:rsidRPr="0080137A">
        <w:rPr>
          <w:rFonts w:eastAsia="Times New Roman"/>
          <w:b/>
          <w:iCs w:val="0"/>
          <w:kern w:val="32"/>
          <w:szCs w:val="24"/>
          <w:lang w:eastAsia="nl-NL"/>
        </w:rPr>
        <w:t>L</w:t>
      </w:r>
      <w:r w:rsidRPr="0080137A">
        <w:rPr>
          <w:rFonts w:eastAsia="Times New Roman"/>
          <w:b/>
          <w:iCs w:val="0"/>
          <w:kern w:val="32"/>
          <w:szCs w:val="24"/>
          <w:lang w:eastAsia="nl-NL"/>
        </w:rPr>
        <w:t>exique</w:t>
      </w:r>
      <w:proofErr w:type="spellEnd"/>
      <w:r w:rsidR="005E76CA" w:rsidRPr="00D96981">
        <w:rPr>
          <w:b/>
          <w:iCs w:val="0"/>
          <w:kern w:val="32"/>
          <w:szCs w:val="24"/>
          <w:vertAlign w:val="superscript"/>
        </w:rPr>
        <w:footnoteReference w:id="1"/>
      </w:r>
      <w:bookmarkEnd w:id="5"/>
    </w:p>
    <w:p w14:paraId="397C7D7D" w14:textId="5206EF4E" w:rsidR="00084048" w:rsidRPr="00C57832" w:rsidRDefault="00904F4C" w:rsidP="0080137A">
      <w:pPr>
        <w:pStyle w:val="Listepuces"/>
        <w:tabs>
          <w:tab w:val="num" w:pos="1042"/>
        </w:tabs>
        <w:spacing w:before="240"/>
        <w:ind w:left="284" w:hanging="198"/>
        <w:rPr>
          <w:lang w:val="fr-BE" w:eastAsia="nl-NL"/>
        </w:rPr>
      </w:pPr>
      <w:r w:rsidRPr="00C57832">
        <w:rPr>
          <w:rFonts w:eastAsia="Times New Roman"/>
          <w:szCs w:val="18"/>
          <w:lang w:val="fr-BE" w:eastAsia="nl-NL"/>
        </w:rPr>
        <w:t xml:space="preserve">Agrément : </w:t>
      </w:r>
      <w:r w:rsidR="00962B2C" w:rsidRPr="00C57832">
        <w:rPr>
          <w:rFonts w:eastAsia="Times New Roman"/>
          <w:szCs w:val="18"/>
          <w:lang w:val="fr-BE" w:eastAsia="nl-NL"/>
        </w:rPr>
        <w:t>décision</w:t>
      </w:r>
      <w:r w:rsidR="00962B2C" w:rsidRPr="00C57832">
        <w:rPr>
          <w:lang w:val="fr-BE" w:eastAsia="nl-NL"/>
        </w:rPr>
        <w:t xml:space="preserve"> </w:t>
      </w:r>
      <w:r w:rsidRPr="00C57832">
        <w:rPr>
          <w:lang w:val="fr-BE" w:eastAsia="nl-NL"/>
        </w:rPr>
        <w:t xml:space="preserve">de la Commission interrégionale de l’Emballage du </w:t>
      </w:r>
      <w:r w:rsidR="0044328D" w:rsidRPr="00C57832">
        <w:rPr>
          <w:lang w:val="fr-BE" w:eastAsia="nl-NL"/>
        </w:rPr>
        <w:t>20 décembre 2018</w:t>
      </w:r>
      <w:r w:rsidRPr="00C57832">
        <w:rPr>
          <w:lang w:val="fr-BE" w:eastAsia="nl-NL"/>
        </w:rPr>
        <w:t xml:space="preserve"> concernant l’agrément de </w:t>
      </w:r>
      <w:proofErr w:type="spellStart"/>
      <w:r w:rsidRPr="00C57832">
        <w:rPr>
          <w:lang w:val="fr-BE" w:eastAsia="nl-NL"/>
        </w:rPr>
        <w:t>Fost</w:t>
      </w:r>
      <w:proofErr w:type="spellEnd"/>
      <w:r w:rsidRPr="00C57832">
        <w:rPr>
          <w:lang w:val="fr-BE" w:eastAsia="nl-NL"/>
        </w:rPr>
        <w:t xml:space="preserve"> Plus, conformément à l’accord de coopération du 4 novembre 2008 concernant la prévention et la gestion des déchets d’emballages (« </w:t>
      </w:r>
      <w:r w:rsidRPr="00C57832">
        <w:rPr>
          <w:b/>
          <w:lang w:val="fr-BE" w:eastAsia="nl-NL"/>
        </w:rPr>
        <w:t>l’Accord de Coopération</w:t>
      </w:r>
      <w:r w:rsidRPr="00C57832">
        <w:rPr>
          <w:lang w:val="fr-BE" w:eastAsia="nl-NL"/>
        </w:rPr>
        <w:t> »), de reprendre l’obligation de reprise et d’information des responsables d’emballage</w:t>
      </w:r>
      <w:r w:rsidR="00F311D1" w:rsidRPr="00C57832">
        <w:rPr>
          <w:lang w:val="fr-BE" w:eastAsia="nl-NL"/>
        </w:rPr>
        <w:t xml:space="preserve"> </w:t>
      </w:r>
      <w:r w:rsidR="00433E69" w:rsidRPr="00C57832">
        <w:rPr>
          <w:lang w:val="fr-BE" w:eastAsia="nl-NL"/>
        </w:rPr>
        <w:t>(</w:t>
      </w:r>
      <w:r w:rsidR="00433E69" w:rsidRPr="00C57832">
        <w:rPr>
          <w:i/>
          <w:lang w:val="fr-BE" w:eastAsia="nl-NL"/>
        </w:rPr>
        <w:t>M.B</w:t>
      </w:r>
      <w:r w:rsidR="00433E69" w:rsidRPr="00C57832">
        <w:rPr>
          <w:lang w:val="fr-BE" w:eastAsia="nl-NL"/>
        </w:rPr>
        <w:t xml:space="preserve">. </w:t>
      </w:r>
      <w:r w:rsidR="0044328D" w:rsidRPr="00C57832">
        <w:rPr>
          <w:lang w:val="fr-BE" w:eastAsia="nl-NL"/>
        </w:rPr>
        <w:t>01.02.2019</w:t>
      </w:r>
      <w:r w:rsidR="00433E69" w:rsidRPr="00C57832">
        <w:rPr>
          <w:lang w:val="fr-BE" w:eastAsia="nl-NL"/>
        </w:rPr>
        <w:t>)</w:t>
      </w:r>
      <w:r w:rsidR="00C65212" w:rsidRPr="00C57832">
        <w:rPr>
          <w:lang w:val="fr-BE" w:eastAsia="nl-NL"/>
        </w:rPr>
        <w:t>.</w:t>
      </w:r>
    </w:p>
    <w:p w14:paraId="397C7D7E" w14:textId="1FEC9CD8" w:rsidR="00084048" w:rsidRPr="00C57832" w:rsidRDefault="00B50163" w:rsidP="0080137A">
      <w:pPr>
        <w:pStyle w:val="Listepuces"/>
        <w:tabs>
          <w:tab w:val="num" w:pos="1042"/>
        </w:tabs>
        <w:ind w:left="284"/>
        <w:rPr>
          <w:lang w:val="fr-BE" w:eastAsia="nl-NL"/>
        </w:rPr>
      </w:pPr>
      <w:r w:rsidRPr="00C57832">
        <w:rPr>
          <w:lang w:val="fr-BE" w:eastAsia="nl-NL"/>
        </w:rPr>
        <w:t xml:space="preserve">Collecte PMC : collecte sélective de déchets d’emballages ménagers répondant à la définition </w:t>
      </w:r>
      <w:r w:rsidR="00936584" w:rsidRPr="00C57832">
        <w:rPr>
          <w:lang w:val="fr-BE" w:eastAsia="nl-NL"/>
        </w:rPr>
        <w:t>d’emballages</w:t>
      </w:r>
      <w:r w:rsidRPr="00C57832">
        <w:rPr>
          <w:lang w:val="fr-BE" w:eastAsia="nl-NL"/>
        </w:rPr>
        <w:t xml:space="preserve"> Plastique, emballages Métalliques et Cartons à boissons</w:t>
      </w:r>
      <w:r w:rsidR="00A30849" w:rsidRPr="00C57832">
        <w:rPr>
          <w:lang w:val="fr-BE" w:eastAsia="nl-NL"/>
        </w:rPr>
        <w:t>.</w:t>
      </w:r>
    </w:p>
    <w:p w14:paraId="397C7D7F" w14:textId="77777777" w:rsidR="00084048" w:rsidRPr="00C57832" w:rsidRDefault="00B50163" w:rsidP="0080137A">
      <w:pPr>
        <w:pStyle w:val="Listepuces"/>
        <w:tabs>
          <w:tab w:val="num" w:pos="1042"/>
        </w:tabs>
        <w:ind w:left="284"/>
        <w:rPr>
          <w:lang w:val="fr-BE" w:eastAsia="nl-NL"/>
        </w:rPr>
      </w:pPr>
      <w:r w:rsidRPr="00C57832">
        <w:rPr>
          <w:lang w:val="fr-BE" w:eastAsia="nl-NL"/>
        </w:rPr>
        <w:t>Centre de tri</w:t>
      </w:r>
      <w:r w:rsidR="00274487" w:rsidRPr="00C57832">
        <w:rPr>
          <w:lang w:val="fr-BE" w:eastAsia="nl-NL"/>
        </w:rPr>
        <w:t> : ensemble d’équipements techniques vers lequel les PMC collectés sont acheminés en vue de leur tri par type de matériau</w:t>
      </w:r>
      <w:r w:rsidR="00A30849" w:rsidRPr="00C57832">
        <w:rPr>
          <w:lang w:val="fr-BE" w:eastAsia="nl-NL"/>
        </w:rPr>
        <w:t>.</w:t>
      </w:r>
    </w:p>
    <w:p w14:paraId="397C7D80" w14:textId="77777777" w:rsidR="00274487" w:rsidRPr="00C57832" w:rsidRDefault="00B50163" w:rsidP="0080137A">
      <w:pPr>
        <w:pStyle w:val="Listepuces"/>
        <w:tabs>
          <w:tab w:val="num" w:pos="1042"/>
        </w:tabs>
        <w:ind w:left="284"/>
        <w:rPr>
          <w:lang w:val="fr-BE" w:eastAsia="nl-NL"/>
        </w:rPr>
      </w:pPr>
      <w:r w:rsidRPr="00C57832">
        <w:rPr>
          <w:lang w:val="fr-BE" w:eastAsia="nl-NL"/>
        </w:rPr>
        <w:t>Station de transfert</w:t>
      </w:r>
      <w:r w:rsidR="00274487" w:rsidRPr="00C57832">
        <w:rPr>
          <w:lang w:val="fr-BE" w:eastAsia="nl-NL"/>
        </w:rPr>
        <w:t xml:space="preserve"> : lieu </w:t>
      </w:r>
      <w:r w:rsidR="00431B4D" w:rsidRPr="00C57832">
        <w:rPr>
          <w:lang w:val="fr-BE" w:eastAsia="nl-NL"/>
        </w:rPr>
        <w:t xml:space="preserve">éventuel </w:t>
      </w:r>
      <w:r w:rsidR="00274487" w:rsidRPr="00C57832">
        <w:rPr>
          <w:lang w:val="fr-BE" w:eastAsia="nl-NL"/>
        </w:rPr>
        <w:t>où les PMC collectés sont acheminés et déversés avant leur acheminement vers le centre de tri</w:t>
      </w:r>
      <w:r w:rsidR="00A30849" w:rsidRPr="00C57832">
        <w:rPr>
          <w:lang w:val="fr-BE" w:eastAsia="nl-NL"/>
        </w:rPr>
        <w:t>.</w:t>
      </w:r>
    </w:p>
    <w:p w14:paraId="397C7D81" w14:textId="77777777" w:rsidR="00084048" w:rsidRPr="00C57832" w:rsidRDefault="00B50163" w:rsidP="0080137A">
      <w:pPr>
        <w:pStyle w:val="Listepuces"/>
        <w:tabs>
          <w:tab w:val="num" w:pos="1042"/>
        </w:tabs>
        <w:ind w:left="284"/>
        <w:rPr>
          <w:lang w:val="fr-BE" w:eastAsia="nl-NL"/>
        </w:rPr>
      </w:pPr>
      <w:r w:rsidRPr="00C57832">
        <w:rPr>
          <w:lang w:val="fr-BE" w:eastAsia="nl-NL"/>
        </w:rPr>
        <w:t>Schéma de collecte</w:t>
      </w:r>
      <w:r w:rsidR="00274487" w:rsidRPr="00C57832">
        <w:rPr>
          <w:lang w:val="fr-BE" w:eastAsia="nl-NL"/>
        </w:rPr>
        <w:t> :</w:t>
      </w:r>
      <w:r w:rsidR="00274487" w:rsidRPr="00C57832">
        <w:rPr>
          <w:lang w:val="fr-BE"/>
        </w:rPr>
        <w:t xml:space="preserve"> division du territoire d’action en différentes zones de collecte, avec pour chaque zone, les dates respectives de collecte des PMC</w:t>
      </w:r>
      <w:r w:rsidR="00A30849" w:rsidRPr="00C57832">
        <w:rPr>
          <w:lang w:val="fr-BE"/>
        </w:rPr>
        <w:t>.</w:t>
      </w:r>
    </w:p>
    <w:p w14:paraId="397C7D82" w14:textId="77777777" w:rsidR="00084048" w:rsidRPr="00C57832" w:rsidRDefault="00B50163" w:rsidP="0080137A">
      <w:pPr>
        <w:pStyle w:val="Listepuces"/>
        <w:tabs>
          <w:tab w:val="num" w:pos="1042"/>
        </w:tabs>
        <w:ind w:left="284"/>
        <w:rPr>
          <w:lang w:val="fr-BE" w:eastAsia="nl-NL"/>
        </w:rPr>
      </w:pPr>
      <w:r w:rsidRPr="00C57832">
        <w:rPr>
          <w:lang w:val="fr-BE" w:eastAsia="nl-NL"/>
        </w:rPr>
        <w:t>Zone de collecte</w:t>
      </w:r>
      <w:r w:rsidR="00971CD7" w:rsidRPr="00C57832">
        <w:rPr>
          <w:lang w:val="fr-BE" w:eastAsia="nl-NL"/>
        </w:rPr>
        <w:t> : domaine géographique dans lequel une tournée de collecte s’organise (qui peut s’étendre sur partie d’une ou plusieurs communes)</w:t>
      </w:r>
      <w:r w:rsidR="00A30849" w:rsidRPr="00C57832">
        <w:rPr>
          <w:lang w:val="fr-BE" w:eastAsia="nl-NL"/>
        </w:rPr>
        <w:t>.</w:t>
      </w:r>
    </w:p>
    <w:p w14:paraId="397C7D83" w14:textId="77777777" w:rsidR="00971CD7" w:rsidRPr="00C57832" w:rsidRDefault="00971CD7" w:rsidP="0080137A">
      <w:pPr>
        <w:pStyle w:val="Listepuces"/>
        <w:tabs>
          <w:tab w:val="num" w:pos="1042"/>
        </w:tabs>
        <w:ind w:left="284"/>
        <w:rPr>
          <w:lang w:val="fr-BE" w:eastAsia="nl-NL"/>
        </w:rPr>
      </w:pPr>
      <w:r w:rsidRPr="00C57832">
        <w:rPr>
          <w:lang w:val="fr-BE" w:eastAsia="nl-NL"/>
        </w:rPr>
        <w:t xml:space="preserve">Système de </w:t>
      </w:r>
      <w:r w:rsidR="00086BF4" w:rsidRPr="00C57832">
        <w:rPr>
          <w:lang w:val="fr-BE" w:eastAsia="nl-NL"/>
        </w:rPr>
        <w:t xml:space="preserve">suivi des </w:t>
      </w:r>
      <w:r w:rsidRPr="00C57832">
        <w:rPr>
          <w:lang w:val="fr-BE" w:eastAsia="nl-NL"/>
        </w:rPr>
        <w:t>plaintes : méthode de travail au travers de laquelle le traitement des plaintes a lieu</w:t>
      </w:r>
      <w:r w:rsidR="001F2FDE" w:rsidRPr="00C57832">
        <w:rPr>
          <w:lang w:val="fr-BE" w:eastAsia="nl-NL"/>
        </w:rPr>
        <w:t xml:space="preserve"> par le prestataire de services</w:t>
      </w:r>
      <w:r w:rsidR="00A30849" w:rsidRPr="00C57832">
        <w:rPr>
          <w:lang w:val="fr-BE" w:eastAsia="nl-NL"/>
        </w:rPr>
        <w:t>.</w:t>
      </w:r>
    </w:p>
    <w:p w14:paraId="5097A770" w14:textId="77777777" w:rsidR="008D5A5A" w:rsidRPr="00C57832" w:rsidRDefault="008D5A5A" w:rsidP="0080137A">
      <w:pPr>
        <w:pStyle w:val="Listepuces"/>
        <w:ind w:left="284"/>
        <w:rPr>
          <w:lang w:val="fr-BE"/>
        </w:rPr>
      </w:pPr>
      <w:r w:rsidRPr="00C57832">
        <w:rPr>
          <w:lang w:val="fr-BE"/>
        </w:rPr>
        <w:t xml:space="preserve">Application en </w:t>
      </w:r>
      <w:proofErr w:type="gramStart"/>
      <w:r w:rsidRPr="00C57832">
        <w:rPr>
          <w:lang w:val="fr-BE"/>
        </w:rPr>
        <w:t>ligne:</w:t>
      </w:r>
      <w:proofErr w:type="gramEnd"/>
      <w:r w:rsidRPr="00C57832">
        <w:rPr>
          <w:lang w:val="fr-BE"/>
        </w:rPr>
        <w:t xml:space="preserve"> application en ligne nécessaire au suivi administratif du Marché, tels que pour la saisie et la vérification des données de livraison par les différentes parties impliquées.</w:t>
      </w:r>
    </w:p>
    <w:p w14:paraId="64FF644E" w14:textId="1B6C8156" w:rsidR="008D5A5A" w:rsidRPr="00364443" w:rsidRDefault="008D5A5A" w:rsidP="0080137A">
      <w:pPr>
        <w:pStyle w:val="Listepuces"/>
        <w:ind w:left="284"/>
        <w:rPr>
          <w:lang w:val="fr-BE" w:eastAsia="nl-NL"/>
        </w:rPr>
      </w:pPr>
      <w:r w:rsidRPr="00C57832">
        <w:rPr>
          <w:lang w:val="fr-BE" w:eastAsia="nl-NL"/>
        </w:rPr>
        <w:t>Bon de livraison : bon (appelé « </w:t>
      </w:r>
      <w:proofErr w:type="spellStart"/>
      <w:r w:rsidRPr="00C57832">
        <w:rPr>
          <w:lang w:val="fr-BE" w:eastAsia="nl-NL"/>
        </w:rPr>
        <w:t>Livcolbon</w:t>
      </w:r>
      <w:proofErr w:type="spellEnd"/>
      <w:r w:rsidRPr="00C57832">
        <w:rPr>
          <w:lang w:val="fr-BE" w:eastAsia="nl-NL"/>
        </w:rPr>
        <w:t xml:space="preserve"> ») précisant les données d’une livraison, entre autres la fraction, l’origine, le poids, le jour </w:t>
      </w:r>
      <w:r w:rsidRPr="00364443">
        <w:rPr>
          <w:lang w:val="fr-BE" w:eastAsia="nl-NL"/>
        </w:rPr>
        <w:t>de collecte, le nom du collecteur et de l’acquéreur.</w:t>
      </w:r>
    </w:p>
    <w:p w14:paraId="34B7DE67" w14:textId="77777777" w:rsidR="008D5A5A" w:rsidRPr="00364443" w:rsidRDefault="008D5A5A" w:rsidP="0080137A">
      <w:pPr>
        <w:pStyle w:val="Listepuces"/>
        <w:ind w:left="284"/>
        <w:rPr>
          <w:lang w:val="fr-BE" w:eastAsia="nl-NL"/>
        </w:rPr>
      </w:pPr>
      <w:r w:rsidRPr="00364443">
        <w:rPr>
          <w:lang w:val="fr-BE" w:eastAsia="nl-NL"/>
        </w:rPr>
        <w:t xml:space="preserve">Le site internet : le site internet de </w:t>
      </w:r>
      <w:proofErr w:type="spellStart"/>
      <w:r w:rsidRPr="00364443">
        <w:rPr>
          <w:lang w:val="fr-BE" w:eastAsia="nl-NL"/>
        </w:rPr>
        <w:t>Fost</w:t>
      </w:r>
      <w:proofErr w:type="spellEnd"/>
      <w:r w:rsidRPr="00364443">
        <w:rPr>
          <w:lang w:val="fr-BE" w:eastAsia="nl-NL"/>
        </w:rPr>
        <w:t xml:space="preserve"> Plus </w:t>
      </w:r>
      <w:hyperlink r:id="rId14" w:history="1">
        <w:r w:rsidRPr="00364443">
          <w:rPr>
            <w:rStyle w:val="Lienhypertexte"/>
            <w:lang w:val="fr-BE" w:eastAsia="nl-NL"/>
          </w:rPr>
          <w:t>www.fostplus.be</w:t>
        </w:r>
      </w:hyperlink>
      <w:r w:rsidRPr="00364443">
        <w:rPr>
          <w:lang w:val="fr-BE" w:eastAsia="nl-NL"/>
        </w:rPr>
        <w:t xml:space="preserve">. </w:t>
      </w:r>
    </w:p>
    <w:p w14:paraId="397C7D86" w14:textId="75FFAAF7" w:rsidR="00084048" w:rsidRPr="00C57832" w:rsidRDefault="004D3E09" w:rsidP="0080137A">
      <w:pPr>
        <w:pStyle w:val="Listepuces"/>
        <w:tabs>
          <w:tab w:val="num" w:pos="1042"/>
        </w:tabs>
        <w:ind w:left="284"/>
        <w:rPr>
          <w:lang w:val="fr-BE" w:eastAsia="nl-NL"/>
        </w:rPr>
      </w:pPr>
      <w:r w:rsidRPr="00364443">
        <w:rPr>
          <w:lang w:val="fr-BE" w:eastAsia="nl-NL"/>
        </w:rPr>
        <w:t xml:space="preserve">Autocollant </w:t>
      </w:r>
      <w:r w:rsidR="0057369C" w:rsidRPr="00364443">
        <w:rPr>
          <w:lang w:val="fr-BE" w:eastAsia="nl-NL"/>
        </w:rPr>
        <w:t>de refus</w:t>
      </w:r>
      <w:r w:rsidRPr="00364443">
        <w:rPr>
          <w:lang w:val="fr-BE" w:eastAsia="nl-NL"/>
        </w:rPr>
        <w:t xml:space="preserve"> : autocollant </w:t>
      </w:r>
      <w:r w:rsidR="0030278C" w:rsidRPr="00364443">
        <w:rPr>
          <w:lang w:val="fr-BE" w:eastAsia="nl-NL"/>
        </w:rPr>
        <w:t>devant</w:t>
      </w:r>
      <w:r w:rsidRPr="00364443">
        <w:rPr>
          <w:lang w:val="fr-BE" w:eastAsia="nl-NL"/>
        </w:rPr>
        <w:t xml:space="preserve"> être apposé</w:t>
      </w:r>
      <w:r w:rsidR="00AB1BC5" w:rsidRPr="00364443">
        <w:rPr>
          <w:lang w:val="fr-BE" w:eastAsia="nl-NL"/>
        </w:rPr>
        <w:t xml:space="preserve"> </w:t>
      </w:r>
      <w:r w:rsidR="0030278C" w:rsidRPr="00364443">
        <w:rPr>
          <w:lang w:val="fr-BE" w:eastAsia="nl-NL"/>
        </w:rPr>
        <w:t>par le prestataire de services</w:t>
      </w:r>
      <w:r w:rsidR="00AB1BC5" w:rsidRPr="00364443">
        <w:rPr>
          <w:lang w:val="fr-BE" w:eastAsia="nl-NL"/>
        </w:rPr>
        <w:t>, dans des circonstances bien déterminées,</w:t>
      </w:r>
      <w:r w:rsidR="0030278C" w:rsidRPr="00364443">
        <w:rPr>
          <w:lang w:val="fr-BE" w:eastAsia="nl-NL"/>
        </w:rPr>
        <w:t xml:space="preserve"> </w:t>
      </w:r>
      <w:r w:rsidR="0030367F" w:rsidRPr="00364443">
        <w:rPr>
          <w:lang w:val="fr-BE" w:eastAsia="nl-NL"/>
        </w:rPr>
        <w:t>en cas de</w:t>
      </w:r>
      <w:r w:rsidR="0030367F" w:rsidRPr="00C57832">
        <w:rPr>
          <w:lang w:val="fr-BE" w:eastAsia="nl-NL"/>
        </w:rPr>
        <w:t xml:space="preserve"> PMC non-conformes </w:t>
      </w:r>
      <w:r w:rsidR="00C82EB5" w:rsidRPr="00C57832">
        <w:rPr>
          <w:lang w:val="fr-BE" w:eastAsia="nl-NL"/>
        </w:rPr>
        <w:t xml:space="preserve">aux spécifications </w:t>
      </w:r>
      <w:r w:rsidR="0030367F" w:rsidRPr="00C57832">
        <w:rPr>
          <w:lang w:val="fr-BE" w:eastAsia="nl-NL"/>
        </w:rPr>
        <w:t xml:space="preserve">dans </w:t>
      </w:r>
      <w:r w:rsidR="0030278C" w:rsidRPr="00C57832">
        <w:rPr>
          <w:lang w:val="fr-BE" w:eastAsia="nl-NL"/>
        </w:rPr>
        <w:t xml:space="preserve">le cadre de </w:t>
      </w:r>
      <w:r w:rsidR="0030367F" w:rsidRPr="00C57832">
        <w:rPr>
          <w:lang w:val="fr-BE" w:eastAsia="nl-NL"/>
        </w:rPr>
        <w:t xml:space="preserve">la </w:t>
      </w:r>
      <w:r w:rsidR="0030278C" w:rsidRPr="00C57832">
        <w:rPr>
          <w:lang w:val="fr-BE" w:eastAsia="nl-NL"/>
        </w:rPr>
        <w:t>collecte en porte-à-porte</w:t>
      </w:r>
      <w:r w:rsidR="00A30849" w:rsidRPr="00C57832">
        <w:rPr>
          <w:lang w:val="fr-BE" w:eastAsia="nl-NL"/>
        </w:rPr>
        <w:t>.</w:t>
      </w:r>
      <w:r w:rsidR="0030278C" w:rsidRPr="00C57832">
        <w:rPr>
          <w:lang w:val="fr-BE" w:eastAsia="nl-NL"/>
        </w:rPr>
        <w:t xml:space="preserve"> </w:t>
      </w:r>
    </w:p>
    <w:p w14:paraId="6C4EC4E2" w14:textId="77777777" w:rsidR="008F0928" w:rsidRPr="00C57832" w:rsidRDefault="008F0928" w:rsidP="008F0928">
      <w:pPr>
        <w:pStyle w:val="Listepuces"/>
        <w:numPr>
          <w:ilvl w:val="0"/>
          <w:numId w:val="0"/>
        </w:numPr>
        <w:tabs>
          <w:tab w:val="num" w:pos="1042"/>
        </w:tabs>
        <w:ind w:left="767"/>
        <w:rPr>
          <w:lang w:val="fr-BE" w:eastAsia="nl-NL"/>
        </w:rPr>
      </w:pPr>
    </w:p>
    <w:p w14:paraId="397C7D89" w14:textId="68632A33" w:rsidR="006B4934" w:rsidRPr="00E6424C" w:rsidRDefault="006B4934" w:rsidP="00BB166A">
      <w:pPr>
        <w:pStyle w:val="Titre2"/>
        <w:numPr>
          <w:ilvl w:val="0"/>
          <w:numId w:val="24"/>
        </w:numPr>
        <w:rPr>
          <w:rFonts w:eastAsia="Times New Roman"/>
          <w:b/>
          <w:iCs w:val="0"/>
          <w:kern w:val="32"/>
          <w:szCs w:val="24"/>
          <w:lang w:eastAsia="nl-NL"/>
        </w:rPr>
      </w:pPr>
      <w:bookmarkStart w:id="6" w:name="_Toc200945490"/>
      <w:bookmarkStart w:id="7" w:name="_Toc201025123"/>
      <w:bookmarkStart w:id="8" w:name="_Toc201587428"/>
      <w:bookmarkStart w:id="9" w:name="_Toc513197729"/>
      <w:proofErr w:type="spellStart"/>
      <w:r w:rsidRPr="00E6424C">
        <w:rPr>
          <w:rFonts w:eastAsia="Times New Roman"/>
          <w:b/>
          <w:iCs w:val="0"/>
          <w:kern w:val="32"/>
          <w:szCs w:val="24"/>
          <w:lang w:eastAsia="nl-NL"/>
        </w:rPr>
        <w:lastRenderedPageBreak/>
        <w:t>Objet</w:t>
      </w:r>
      <w:proofErr w:type="spellEnd"/>
      <w:r w:rsidRPr="00E6424C">
        <w:rPr>
          <w:rFonts w:eastAsia="Times New Roman"/>
          <w:b/>
          <w:iCs w:val="0"/>
          <w:kern w:val="32"/>
          <w:szCs w:val="24"/>
          <w:lang w:eastAsia="nl-NL"/>
        </w:rPr>
        <w:t xml:space="preserve"> et nature du </w:t>
      </w:r>
      <w:bookmarkEnd w:id="6"/>
      <w:bookmarkEnd w:id="7"/>
      <w:bookmarkEnd w:id="8"/>
      <w:r w:rsidR="005E5746" w:rsidRPr="00E6424C">
        <w:rPr>
          <w:rFonts w:eastAsia="Times New Roman"/>
          <w:b/>
          <w:iCs w:val="0"/>
          <w:kern w:val="32"/>
          <w:szCs w:val="24"/>
          <w:lang w:eastAsia="nl-NL"/>
        </w:rPr>
        <w:t>Marché</w:t>
      </w:r>
      <w:bookmarkEnd w:id="9"/>
    </w:p>
    <w:p w14:paraId="397C7D8A" w14:textId="4529C77F" w:rsidR="006B4934" w:rsidRPr="00C57832" w:rsidRDefault="006B4934" w:rsidP="00B52F18">
      <w:pPr>
        <w:spacing w:before="240"/>
        <w:jc w:val="both"/>
        <w:rPr>
          <w:rFonts w:eastAsia="Times New Roman"/>
          <w:szCs w:val="18"/>
          <w:lang w:val="fr-BE" w:eastAsia="nl-NL"/>
        </w:rPr>
      </w:pPr>
      <w:r w:rsidRPr="00C57832">
        <w:rPr>
          <w:rFonts w:eastAsia="Times New Roman"/>
          <w:szCs w:val="18"/>
          <w:lang w:val="fr-BE" w:eastAsia="nl-NL"/>
        </w:rPr>
        <w:t xml:space="preserve">Le présent </w:t>
      </w:r>
      <w:r w:rsidR="005E5746" w:rsidRPr="00C57832">
        <w:rPr>
          <w:rFonts w:eastAsia="Times New Roman"/>
          <w:szCs w:val="18"/>
          <w:lang w:val="fr-BE" w:eastAsia="nl-NL"/>
        </w:rPr>
        <w:t>Marché</w:t>
      </w:r>
      <w:r w:rsidRPr="00C57832">
        <w:rPr>
          <w:rFonts w:eastAsia="Times New Roman"/>
          <w:szCs w:val="18"/>
          <w:lang w:val="fr-BE" w:eastAsia="nl-NL"/>
        </w:rPr>
        <w:t xml:space="preserve"> concerne la collecte </w:t>
      </w:r>
      <w:r w:rsidR="00663A88" w:rsidRPr="00C57832">
        <w:rPr>
          <w:rFonts w:eastAsia="Times New Roman"/>
          <w:szCs w:val="18"/>
          <w:lang w:val="fr-BE" w:eastAsia="nl-NL"/>
        </w:rPr>
        <w:t xml:space="preserve">et le transfert éventuel </w:t>
      </w:r>
      <w:r w:rsidRPr="00C57832">
        <w:rPr>
          <w:rFonts w:eastAsia="Times New Roman"/>
          <w:szCs w:val="18"/>
          <w:lang w:val="fr-BE" w:eastAsia="nl-NL"/>
        </w:rPr>
        <w:t xml:space="preserve">de la fraction </w:t>
      </w:r>
      <w:r w:rsidR="008D5A5A" w:rsidRPr="00C57832">
        <w:rPr>
          <w:rFonts w:eastAsia="Times New Roman"/>
          <w:szCs w:val="18"/>
          <w:lang w:val="fr-BE" w:eastAsia="nl-NL"/>
        </w:rPr>
        <w:t>emballages</w:t>
      </w:r>
      <w:r w:rsidRPr="00C57832">
        <w:rPr>
          <w:rFonts w:eastAsia="Times New Roman"/>
          <w:szCs w:val="18"/>
          <w:lang w:val="fr-BE" w:eastAsia="nl-NL"/>
        </w:rPr>
        <w:t xml:space="preserve"> Plastique, emballages Métalliques et Cartons à boissons (dénommée ci-après PMC), d’origine ménagère dans les communes reprises en annexe C</w:t>
      </w:r>
      <w:r w:rsidR="00904F4C" w:rsidRPr="00C57832">
        <w:rPr>
          <w:rFonts w:eastAsia="Times New Roman"/>
          <w:szCs w:val="18"/>
          <w:lang w:val="fr-BE" w:eastAsia="nl-NL"/>
        </w:rPr>
        <w:t xml:space="preserve"> </w:t>
      </w:r>
      <w:r w:rsidR="00904F4C" w:rsidRPr="00C57832">
        <w:rPr>
          <w:szCs w:val="18"/>
          <w:lang w:val="fr-BE" w:eastAsia="nl-NL"/>
        </w:rPr>
        <w:t>(le « </w:t>
      </w:r>
      <w:r w:rsidR="00904F4C" w:rsidRPr="00C57832">
        <w:rPr>
          <w:b/>
          <w:szCs w:val="18"/>
          <w:lang w:val="fr-BE" w:eastAsia="nl-NL"/>
        </w:rPr>
        <w:t>Marché</w:t>
      </w:r>
      <w:r w:rsidR="00904F4C" w:rsidRPr="00C57832">
        <w:rPr>
          <w:szCs w:val="18"/>
          <w:lang w:val="fr-BE" w:eastAsia="nl-NL"/>
        </w:rPr>
        <w:t> »)</w:t>
      </w:r>
      <w:r w:rsidRPr="00C57832">
        <w:rPr>
          <w:rFonts w:eastAsia="Times New Roman"/>
          <w:szCs w:val="18"/>
          <w:lang w:val="fr-BE" w:eastAsia="nl-NL"/>
        </w:rPr>
        <w:t xml:space="preserve">. Cette prestation de services s'inscrit dans l'obligation de reprise des déchets d'emballages ménagers </w:t>
      </w:r>
      <w:r w:rsidR="006072FC" w:rsidRPr="00C57832">
        <w:rPr>
          <w:rFonts w:eastAsia="Times New Roman"/>
          <w:szCs w:val="18"/>
          <w:lang w:val="fr-BE" w:eastAsia="nl-NL"/>
        </w:rPr>
        <w:t>par</w:t>
      </w:r>
      <w:r w:rsidRPr="00C57832">
        <w:rPr>
          <w:rFonts w:eastAsia="Times New Roman"/>
          <w:szCs w:val="18"/>
          <w:lang w:val="fr-BE" w:eastAsia="nl-NL"/>
        </w:rPr>
        <w:t xml:space="preserve"> </w:t>
      </w:r>
      <w:proofErr w:type="spellStart"/>
      <w:r w:rsidRPr="00C57832">
        <w:rPr>
          <w:rFonts w:eastAsia="Times New Roman"/>
          <w:szCs w:val="18"/>
          <w:lang w:val="fr-BE" w:eastAsia="nl-NL"/>
        </w:rPr>
        <w:t>Fost</w:t>
      </w:r>
      <w:proofErr w:type="spellEnd"/>
      <w:r w:rsidRPr="00C57832">
        <w:rPr>
          <w:rFonts w:eastAsia="Times New Roman"/>
          <w:szCs w:val="18"/>
          <w:lang w:val="fr-BE" w:eastAsia="nl-NL"/>
        </w:rPr>
        <w:t xml:space="preserve"> Plus conformément à l’Accord de Coopération. A cette fin, le pouvoir adjudicateur a conclu un contrat avec </w:t>
      </w:r>
      <w:proofErr w:type="spellStart"/>
      <w:r w:rsidRPr="00C57832">
        <w:rPr>
          <w:rFonts w:eastAsia="Times New Roman"/>
          <w:szCs w:val="18"/>
          <w:lang w:val="fr-BE" w:eastAsia="nl-NL"/>
        </w:rPr>
        <w:t>Fost</w:t>
      </w:r>
      <w:proofErr w:type="spellEnd"/>
      <w:r w:rsidRPr="00C57832">
        <w:rPr>
          <w:rFonts w:eastAsia="Times New Roman"/>
          <w:szCs w:val="18"/>
          <w:lang w:val="fr-BE" w:eastAsia="nl-NL"/>
        </w:rPr>
        <w:t xml:space="preserve"> Plus, l'organisme agréé pour les déchets d'emballages ménagers. C'est également ce dernier qui rémunérera les prestations fournies par le prestataire de services dans le cadre du présent </w:t>
      </w:r>
      <w:r w:rsidR="00904F4C" w:rsidRPr="00C57832">
        <w:rPr>
          <w:rFonts w:eastAsia="Times New Roman"/>
          <w:szCs w:val="18"/>
          <w:lang w:val="fr-BE" w:eastAsia="nl-NL"/>
        </w:rPr>
        <w:t>M</w:t>
      </w:r>
      <w:r w:rsidRPr="00C57832">
        <w:rPr>
          <w:rFonts w:eastAsia="Times New Roman"/>
          <w:szCs w:val="18"/>
          <w:lang w:val="fr-BE" w:eastAsia="nl-NL"/>
        </w:rPr>
        <w:t>arché.</w:t>
      </w:r>
    </w:p>
    <w:p w14:paraId="35EB8DFE" w14:textId="0CACA5FB" w:rsidR="008D0025" w:rsidRPr="00C57832" w:rsidRDefault="006B4934" w:rsidP="008D0025">
      <w:pPr>
        <w:jc w:val="both"/>
        <w:rPr>
          <w:rFonts w:eastAsia="Times New Roman"/>
          <w:szCs w:val="18"/>
          <w:lang w:val="fr-BE" w:eastAsia="nl-NL"/>
        </w:rPr>
      </w:pPr>
      <w:r w:rsidRPr="00C57832">
        <w:rPr>
          <w:rFonts w:eastAsia="Times New Roman"/>
          <w:szCs w:val="18"/>
          <w:lang w:val="fr-BE" w:eastAsia="nl-NL"/>
        </w:rPr>
        <w:t xml:space="preserve">Il a été opté pour une procédure </w:t>
      </w:r>
      <w:r w:rsidR="00904F4C" w:rsidRPr="00C57832">
        <w:rPr>
          <w:rFonts w:eastAsia="Times New Roman"/>
          <w:szCs w:val="18"/>
          <w:lang w:val="fr-BE" w:eastAsia="nl-NL"/>
        </w:rPr>
        <w:t>ouvert</w:t>
      </w:r>
      <w:r w:rsidR="000E70C6" w:rsidRPr="00C57832">
        <w:rPr>
          <w:rFonts w:eastAsia="Times New Roman"/>
          <w:szCs w:val="18"/>
          <w:lang w:val="fr-BE" w:eastAsia="nl-NL"/>
        </w:rPr>
        <w:t>e</w:t>
      </w:r>
      <w:r w:rsidR="008D0025" w:rsidRPr="00C57832">
        <w:rPr>
          <w:lang w:val="fr-BE"/>
        </w:rPr>
        <w:t xml:space="preserve"> </w:t>
      </w:r>
      <w:r w:rsidR="008D0025" w:rsidRPr="00C57832">
        <w:rPr>
          <w:rFonts w:eastAsia="Times New Roman"/>
          <w:szCs w:val="18"/>
          <w:lang w:val="fr-BE" w:eastAsia="nl-NL"/>
        </w:rPr>
        <w:t>au sens de l’article 2, 22° de la Loi relative aux marchés publics.</w:t>
      </w:r>
    </w:p>
    <w:p w14:paraId="28B30B96" w14:textId="77777777" w:rsidR="008D0025" w:rsidRPr="00C57832" w:rsidRDefault="008D0025" w:rsidP="008D0025">
      <w:pPr>
        <w:jc w:val="both"/>
        <w:rPr>
          <w:rFonts w:eastAsia="Times New Roman"/>
          <w:szCs w:val="18"/>
          <w:lang w:val="fr-BE" w:eastAsia="nl-NL"/>
        </w:rPr>
      </w:pPr>
    </w:p>
    <w:p w14:paraId="397C7D8B" w14:textId="77D049D0" w:rsidR="006B4934" w:rsidRPr="00C57832" w:rsidRDefault="008D0025" w:rsidP="008D0025">
      <w:pPr>
        <w:jc w:val="both"/>
        <w:rPr>
          <w:rFonts w:eastAsia="Times New Roman"/>
          <w:szCs w:val="18"/>
          <w:lang w:val="fr-BE" w:eastAsia="nl-NL"/>
        </w:rPr>
      </w:pPr>
      <w:r w:rsidRPr="00C57832">
        <w:rPr>
          <w:rFonts w:eastAsia="Times New Roman"/>
          <w:szCs w:val="18"/>
          <w:lang w:val="fr-BE" w:eastAsia="nl-NL"/>
        </w:rPr>
        <w:t>Division en lots (article 58 de la Loi relative aux marchés publics)</w:t>
      </w:r>
      <w:r w:rsidR="006B4934" w:rsidRPr="00C57832">
        <w:rPr>
          <w:rFonts w:eastAsia="Times New Roman"/>
          <w:szCs w:val="18"/>
          <w:lang w:val="fr-BE" w:eastAsia="nl-NL"/>
        </w:rPr>
        <w:t>.</w:t>
      </w:r>
    </w:p>
    <w:p w14:paraId="397C7D8C" w14:textId="0967768D" w:rsidR="006B4934" w:rsidRPr="00C57832" w:rsidRDefault="006B4934">
      <w:pPr>
        <w:jc w:val="both"/>
        <w:rPr>
          <w:rFonts w:eastAsia="Times New Roman"/>
          <w:szCs w:val="18"/>
          <w:lang w:val="fr-BE" w:eastAsia="nl-NL"/>
        </w:rPr>
      </w:pPr>
      <w:r w:rsidRPr="00C57832">
        <w:rPr>
          <w:rFonts w:eastAsia="Times New Roman"/>
          <w:szCs w:val="18"/>
          <w:lang w:val="fr-BE" w:eastAsia="nl-NL"/>
        </w:rPr>
        <w:t xml:space="preserve">Ce </w:t>
      </w:r>
      <w:r w:rsidR="00904F4C" w:rsidRPr="00C57832">
        <w:rPr>
          <w:rFonts w:eastAsia="Times New Roman"/>
          <w:szCs w:val="18"/>
          <w:lang w:val="fr-BE" w:eastAsia="nl-NL"/>
        </w:rPr>
        <w:t>M</w:t>
      </w:r>
      <w:r w:rsidRPr="00C57832">
        <w:rPr>
          <w:rFonts w:eastAsia="Times New Roman"/>
          <w:szCs w:val="18"/>
          <w:lang w:val="fr-BE" w:eastAsia="nl-NL"/>
        </w:rPr>
        <w:t xml:space="preserve">arché concerne </w:t>
      </w:r>
      <w:r w:rsidR="00306B75" w:rsidRPr="00C57832">
        <w:rPr>
          <w:szCs w:val="18"/>
          <w:lang w:val="fr-BE"/>
        </w:rPr>
        <w:fldChar w:fldCharType="begin">
          <w:ffData>
            <w:name w:val=""/>
            <w:enabled/>
            <w:calcOnExit w:val="0"/>
            <w:textInput>
              <w:default w:val="&lt;indiquer le nombre de lots"/>
            </w:textInput>
          </w:ffData>
        </w:fldChar>
      </w:r>
      <w:r w:rsidR="00511000"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00511000" w:rsidRPr="00C57832">
        <w:rPr>
          <w:szCs w:val="18"/>
          <w:lang w:val="fr-BE"/>
        </w:rPr>
        <w:t>&lt;indiquer le nombre de lots</w:t>
      </w:r>
      <w:r w:rsidR="00306B75" w:rsidRPr="00C57832">
        <w:rPr>
          <w:szCs w:val="18"/>
          <w:lang w:val="fr-BE"/>
        </w:rPr>
        <w:fldChar w:fldCharType="end"/>
      </w:r>
      <w:r w:rsidR="00084048" w:rsidRPr="00C57832">
        <w:rPr>
          <w:rStyle w:val="Appelnotedebasdep"/>
          <w:rFonts w:eastAsia="Times New Roman"/>
          <w:szCs w:val="18"/>
          <w:highlight w:val="lightGray"/>
          <w:lang w:val="fr-BE" w:eastAsia="nl-NL"/>
        </w:rPr>
        <w:footnoteReference w:id="2"/>
      </w:r>
      <w:r w:rsidR="00084048" w:rsidRPr="00C57832">
        <w:rPr>
          <w:rFonts w:eastAsia="Times New Roman"/>
          <w:szCs w:val="18"/>
          <w:highlight w:val="lightGray"/>
          <w:lang w:val="fr-BE" w:eastAsia="nl-NL"/>
        </w:rPr>
        <w:t>&gt;.</w:t>
      </w:r>
    </w:p>
    <w:p w14:paraId="397C7D8D" w14:textId="77777777" w:rsidR="006B4934" w:rsidRPr="00C57832" w:rsidRDefault="00431B4D">
      <w:pPr>
        <w:rPr>
          <w:rFonts w:eastAsia="Times New Roman"/>
          <w:b/>
          <w:lang w:val="fr-BE" w:eastAsia="nl-NL"/>
        </w:rPr>
      </w:pPr>
      <w:r w:rsidRPr="00C57832">
        <w:rPr>
          <w:rFonts w:eastAsia="Times New Roman"/>
          <w:b/>
          <w:lang w:val="fr-BE" w:eastAsia="nl-NL"/>
        </w:rPr>
        <w:t>&lt;</w:t>
      </w:r>
      <w:r w:rsidR="00084048" w:rsidRPr="00C57832">
        <w:rPr>
          <w:rFonts w:eastAsia="Times New Roman"/>
          <w:b/>
          <w:highlight w:val="lightGray"/>
          <w:lang w:val="fr-BE" w:eastAsia="nl-NL"/>
        </w:rPr>
        <w:t>Lot 1 : Collecte du PMC en porte</w:t>
      </w:r>
      <w:r w:rsidR="00B074C5" w:rsidRPr="00C57832">
        <w:rPr>
          <w:rFonts w:eastAsia="Times New Roman"/>
          <w:b/>
          <w:highlight w:val="lightGray"/>
          <w:lang w:val="fr-BE" w:eastAsia="nl-NL"/>
        </w:rPr>
        <w:t>-</w:t>
      </w:r>
      <w:r w:rsidR="00084048" w:rsidRPr="00C57832">
        <w:rPr>
          <w:rFonts w:eastAsia="Times New Roman"/>
          <w:b/>
          <w:highlight w:val="lightGray"/>
          <w:lang w:val="fr-BE" w:eastAsia="nl-NL"/>
        </w:rPr>
        <w:t>à</w:t>
      </w:r>
      <w:r w:rsidR="00B074C5" w:rsidRPr="00C57832">
        <w:rPr>
          <w:rFonts w:eastAsia="Times New Roman"/>
          <w:b/>
          <w:highlight w:val="lightGray"/>
          <w:lang w:val="fr-BE" w:eastAsia="nl-NL"/>
        </w:rPr>
        <w:t>-</w:t>
      </w:r>
      <w:r w:rsidR="00084048" w:rsidRPr="00C57832">
        <w:rPr>
          <w:rFonts w:eastAsia="Times New Roman"/>
          <w:b/>
          <w:highlight w:val="lightGray"/>
          <w:lang w:val="fr-BE" w:eastAsia="nl-NL"/>
        </w:rPr>
        <w:t>porte</w:t>
      </w:r>
      <w:r w:rsidR="00084048" w:rsidRPr="00C57832">
        <w:rPr>
          <w:rStyle w:val="Appelnotedebasdep"/>
          <w:rFonts w:eastAsia="Times New Roman"/>
          <w:b/>
          <w:highlight w:val="lightGray"/>
          <w:lang w:val="fr-BE" w:eastAsia="nl-NL"/>
        </w:rPr>
        <w:footnoteReference w:id="3"/>
      </w:r>
      <w:r w:rsidRPr="00C57832">
        <w:rPr>
          <w:rFonts w:eastAsia="Times New Roman"/>
          <w:b/>
          <w:lang w:val="fr-BE" w:eastAsia="nl-NL"/>
        </w:rPr>
        <w:t>&gt;</w:t>
      </w:r>
    </w:p>
    <w:p w14:paraId="397C7D8E" w14:textId="77777777" w:rsidR="006B4934" w:rsidRPr="00C57832" w:rsidRDefault="00431B4D">
      <w:pPr>
        <w:pStyle w:val="Listenumros"/>
        <w:rPr>
          <w:lang w:val="fr-BE" w:eastAsia="nl-NL"/>
        </w:rPr>
      </w:pPr>
      <w:r w:rsidRPr="00C57832">
        <w:rPr>
          <w:lang w:val="fr-BE" w:eastAsia="nl-NL"/>
        </w:rPr>
        <w:t>&lt;</w:t>
      </w:r>
      <w:r w:rsidR="00084048" w:rsidRPr="00C57832">
        <w:rPr>
          <w:highlight w:val="lightGray"/>
          <w:lang w:val="fr-BE" w:eastAsia="nl-NL"/>
        </w:rPr>
        <w:t>Collecte</w:t>
      </w:r>
      <w:r w:rsidRPr="00C57832">
        <w:rPr>
          <w:lang w:val="fr-BE" w:eastAsia="nl-NL"/>
        </w:rPr>
        <w:t>&gt;</w:t>
      </w:r>
    </w:p>
    <w:p w14:paraId="397C7D8F" w14:textId="77777777" w:rsidR="006B4934" w:rsidRPr="00C57832" w:rsidRDefault="00431B4D">
      <w:pPr>
        <w:pStyle w:val="Listenumros"/>
        <w:rPr>
          <w:lang w:val="fr-BE" w:eastAsia="nl-NL"/>
        </w:rPr>
      </w:pPr>
      <w:r w:rsidRPr="00C57832">
        <w:rPr>
          <w:lang w:val="fr-BE" w:eastAsia="nl-NL"/>
        </w:rPr>
        <w:t>&lt;</w:t>
      </w:r>
      <w:r w:rsidR="00084048" w:rsidRPr="00C57832">
        <w:rPr>
          <w:highlight w:val="lightGray"/>
          <w:lang w:val="fr-BE" w:eastAsia="nl-NL"/>
        </w:rPr>
        <w:t>Transport et v</w:t>
      </w:r>
      <w:r w:rsidR="002E6479" w:rsidRPr="00C57832">
        <w:rPr>
          <w:highlight w:val="lightGray"/>
          <w:lang w:val="fr-BE" w:eastAsia="nl-NL"/>
        </w:rPr>
        <w:t>ersage</w:t>
      </w:r>
      <w:r w:rsidR="00084048" w:rsidRPr="00C57832">
        <w:rPr>
          <w:highlight w:val="lightGray"/>
          <w:lang w:val="fr-BE" w:eastAsia="nl-NL"/>
        </w:rPr>
        <w:t xml:space="preserve"> des PMC vers le centre de tri (ou la station de transfert proposée par ce dernier)</w:t>
      </w:r>
      <w:r w:rsidRPr="00C57832">
        <w:rPr>
          <w:lang w:val="fr-BE" w:eastAsia="nl-NL"/>
        </w:rPr>
        <w:t>&gt;</w:t>
      </w:r>
    </w:p>
    <w:p w14:paraId="397C7D90" w14:textId="77777777" w:rsidR="00027A07" w:rsidRPr="00C57832" w:rsidRDefault="00027A07">
      <w:pPr>
        <w:rPr>
          <w:rFonts w:eastAsia="Times New Roman"/>
          <w:b/>
          <w:lang w:val="fr-BE" w:eastAsia="nl-NL"/>
        </w:rPr>
      </w:pPr>
    </w:p>
    <w:p w14:paraId="397C7D91" w14:textId="5517BB57" w:rsidR="006B4934" w:rsidRPr="00C57832" w:rsidRDefault="00431B4D">
      <w:pPr>
        <w:rPr>
          <w:rFonts w:eastAsia="Times New Roman"/>
          <w:b/>
          <w:lang w:val="fr-BE" w:eastAsia="nl-NL"/>
        </w:rPr>
      </w:pPr>
      <w:r w:rsidRPr="00C57832">
        <w:rPr>
          <w:rFonts w:eastAsia="Times New Roman"/>
          <w:b/>
          <w:lang w:val="fr-BE" w:eastAsia="nl-NL"/>
        </w:rPr>
        <w:t>&lt;</w:t>
      </w:r>
      <w:r w:rsidR="00084048" w:rsidRPr="00C57832">
        <w:rPr>
          <w:rFonts w:eastAsia="Times New Roman"/>
          <w:b/>
          <w:highlight w:val="lightGray"/>
          <w:lang w:val="fr-BE" w:eastAsia="nl-NL"/>
        </w:rPr>
        <w:t xml:space="preserve">Lot 2 : Collecte du PMC </w:t>
      </w:r>
      <w:r w:rsidR="0033233C" w:rsidRPr="00C57832">
        <w:rPr>
          <w:rFonts w:eastAsia="Times New Roman"/>
          <w:b/>
          <w:highlight w:val="lightGray"/>
          <w:lang w:val="fr-BE" w:eastAsia="nl-NL"/>
        </w:rPr>
        <w:t xml:space="preserve">sur les </w:t>
      </w:r>
      <w:proofErr w:type="spellStart"/>
      <w:r w:rsidR="00872188" w:rsidRPr="00C57832">
        <w:rPr>
          <w:rFonts w:eastAsia="Times New Roman"/>
          <w:b/>
          <w:highlight w:val="lightGray"/>
          <w:lang w:val="fr-BE" w:eastAsia="nl-NL"/>
        </w:rPr>
        <w:t>recyparcs</w:t>
      </w:r>
      <w:proofErr w:type="spellEnd"/>
      <w:r w:rsidR="00F6106B" w:rsidRPr="00C57832">
        <w:rPr>
          <w:rStyle w:val="Appelnotedebasdep"/>
          <w:rFonts w:eastAsia="Times New Roman"/>
          <w:b/>
          <w:lang w:val="fr-BE" w:eastAsia="nl-NL"/>
        </w:rPr>
        <w:footnoteReference w:id="4"/>
      </w:r>
      <w:r w:rsidRPr="00C57832">
        <w:rPr>
          <w:rFonts w:eastAsia="Times New Roman"/>
          <w:b/>
          <w:lang w:val="fr-BE" w:eastAsia="nl-NL"/>
        </w:rPr>
        <w:t>&gt;</w:t>
      </w:r>
    </w:p>
    <w:p w14:paraId="397C7D92" w14:textId="0A7AD1DA" w:rsidR="006B4934" w:rsidRPr="00C57832" w:rsidRDefault="00431B4D">
      <w:pPr>
        <w:pStyle w:val="Listenumros"/>
        <w:rPr>
          <w:lang w:val="fr-BE" w:eastAsia="nl-NL"/>
        </w:rPr>
      </w:pPr>
      <w:r w:rsidRPr="00C57832">
        <w:rPr>
          <w:lang w:val="fr-BE" w:eastAsia="nl-NL"/>
        </w:rPr>
        <w:t>&lt;</w:t>
      </w:r>
      <w:r w:rsidR="00084048" w:rsidRPr="00C57832">
        <w:rPr>
          <w:highlight w:val="lightGray"/>
          <w:lang w:val="fr-BE" w:eastAsia="nl-NL"/>
        </w:rPr>
        <w:t xml:space="preserve">Placement et location des conteneurs </w:t>
      </w:r>
      <w:r w:rsidR="0057369C" w:rsidRPr="00C57832">
        <w:rPr>
          <w:highlight w:val="lightGray"/>
          <w:lang w:val="fr-BE" w:eastAsia="nl-NL"/>
        </w:rPr>
        <w:t xml:space="preserve">dans </w:t>
      </w:r>
      <w:r w:rsidR="00084048" w:rsidRPr="00C57832">
        <w:rPr>
          <w:highlight w:val="lightGray"/>
          <w:lang w:val="fr-BE" w:eastAsia="nl-NL"/>
        </w:rPr>
        <w:t xml:space="preserve">les </w:t>
      </w:r>
      <w:proofErr w:type="spellStart"/>
      <w:r w:rsidR="00872188" w:rsidRPr="00C57832">
        <w:rPr>
          <w:highlight w:val="lightGray"/>
          <w:lang w:val="fr-BE" w:eastAsia="nl-NL"/>
        </w:rPr>
        <w:t>recyparcs</w:t>
      </w:r>
      <w:proofErr w:type="spellEnd"/>
      <w:r w:rsidRPr="00C57832">
        <w:rPr>
          <w:lang w:val="fr-BE" w:eastAsia="nl-NL"/>
        </w:rPr>
        <w:t>&gt;</w:t>
      </w:r>
    </w:p>
    <w:p w14:paraId="397C7D93" w14:textId="77777777" w:rsidR="006B4934" w:rsidRPr="00C57832" w:rsidRDefault="00431B4D">
      <w:pPr>
        <w:pStyle w:val="Listenumros"/>
        <w:rPr>
          <w:lang w:val="fr-BE" w:eastAsia="nl-NL"/>
        </w:rPr>
      </w:pPr>
      <w:r w:rsidRPr="00C57832">
        <w:rPr>
          <w:lang w:val="fr-BE" w:eastAsia="nl-NL"/>
        </w:rPr>
        <w:t>&lt;</w:t>
      </w:r>
      <w:r w:rsidR="00084048" w:rsidRPr="00C57832">
        <w:rPr>
          <w:highlight w:val="lightGray"/>
          <w:lang w:val="fr-BE" w:eastAsia="nl-NL"/>
        </w:rPr>
        <w:t>Evacuation et v</w:t>
      </w:r>
      <w:r w:rsidR="002E6479" w:rsidRPr="00C57832">
        <w:rPr>
          <w:highlight w:val="lightGray"/>
          <w:lang w:val="fr-BE" w:eastAsia="nl-NL"/>
        </w:rPr>
        <w:t>ersage</w:t>
      </w:r>
      <w:r w:rsidR="00084048" w:rsidRPr="00C57832">
        <w:rPr>
          <w:highlight w:val="lightGray"/>
          <w:lang w:val="fr-BE" w:eastAsia="nl-NL"/>
        </w:rPr>
        <w:t xml:space="preserve"> des conteneurs vers le centre de tri (ou la station de transfert proposée par ce dernier)</w:t>
      </w:r>
      <w:r w:rsidRPr="00C57832">
        <w:rPr>
          <w:lang w:val="fr-BE" w:eastAsia="nl-NL"/>
        </w:rPr>
        <w:t>&gt;</w:t>
      </w:r>
    </w:p>
    <w:p w14:paraId="397C7D94" w14:textId="77777777" w:rsidR="006B4934" w:rsidRPr="00C57832" w:rsidRDefault="006B4934">
      <w:pPr>
        <w:rPr>
          <w:lang w:val="fr-BE"/>
        </w:rPr>
      </w:pPr>
    </w:p>
    <w:p w14:paraId="397C7D95" w14:textId="75C3E8AC" w:rsidR="006B4934" w:rsidRPr="00C57832" w:rsidRDefault="006B4934">
      <w:pPr>
        <w:rPr>
          <w:lang w:val="fr-BE"/>
        </w:rPr>
      </w:pPr>
      <w:r w:rsidRPr="00C57832">
        <w:rPr>
          <w:lang w:val="fr-BE"/>
        </w:rPr>
        <w:t xml:space="preserve">Le pouvoir adjudicateur se réserve expressément le droit </w:t>
      </w:r>
      <w:r w:rsidR="00904F4C" w:rsidRPr="00C57832">
        <w:rPr>
          <w:szCs w:val="18"/>
          <w:lang w:val="fr-BE" w:eastAsia="nl-NL"/>
        </w:rPr>
        <w:t>par décision motivée</w:t>
      </w:r>
      <w:r w:rsidR="00904F4C" w:rsidRPr="00C57832">
        <w:rPr>
          <w:lang w:val="fr-BE"/>
        </w:rPr>
        <w:t xml:space="preserve"> </w:t>
      </w:r>
      <w:r w:rsidRPr="00C57832">
        <w:rPr>
          <w:lang w:val="fr-BE"/>
        </w:rPr>
        <w:t xml:space="preserve">de ne pas donner suite entièrement ou partiellement </w:t>
      </w:r>
      <w:r w:rsidR="00904F4C" w:rsidRPr="00C57832">
        <w:rPr>
          <w:szCs w:val="18"/>
          <w:lang w:val="fr-BE" w:eastAsia="nl-NL"/>
        </w:rPr>
        <w:t>au placement de ce Marché ou</w:t>
      </w:r>
      <w:r w:rsidRPr="00C57832">
        <w:rPr>
          <w:lang w:val="fr-BE"/>
        </w:rPr>
        <w:t xml:space="preserve"> de n'attribuer qu'un seul lot et d'éventuellement décider de reprendre le(s) autre(s) lot(s) dans un ou plusieurs nouveaux marchés qui peu(</w:t>
      </w:r>
      <w:proofErr w:type="spellStart"/>
      <w:r w:rsidRPr="00C57832">
        <w:rPr>
          <w:lang w:val="fr-BE"/>
        </w:rPr>
        <w:t>ven</w:t>
      </w:r>
      <w:proofErr w:type="spellEnd"/>
      <w:r w:rsidRPr="00C57832">
        <w:rPr>
          <w:lang w:val="fr-BE"/>
        </w:rPr>
        <w:t>)t au besoin être attribué(s) d'une autre manière.</w:t>
      </w:r>
    </w:p>
    <w:p w14:paraId="397C7D96" w14:textId="77777777" w:rsidR="006B4934" w:rsidRPr="00C57832" w:rsidRDefault="006B4934">
      <w:pPr>
        <w:rPr>
          <w:lang w:val="fr-BE"/>
        </w:rPr>
      </w:pPr>
      <w:r w:rsidRPr="00C57832">
        <w:rPr>
          <w:lang w:val="fr-BE"/>
        </w:rPr>
        <w:t>Le soumissionnaire doit indiquer sur le formulaire de soumission (annexe A) le(s) lot(s) concerné(s) par son offre.</w:t>
      </w:r>
    </w:p>
    <w:p w14:paraId="397C7D97" w14:textId="046D50E5" w:rsidR="008D0025" w:rsidRPr="00C57832" w:rsidRDefault="006B4934">
      <w:pPr>
        <w:rPr>
          <w:lang w:val="fr-BE"/>
        </w:rPr>
      </w:pPr>
      <w:r w:rsidRPr="00C57832">
        <w:rPr>
          <w:lang w:val="fr-BE"/>
        </w:rPr>
        <w:t xml:space="preserve">Pour la description détaillée du </w:t>
      </w:r>
      <w:r w:rsidR="00904F4C" w:rsidRPr="00C57832">
        <w:rPr>
          <w:lang w:val="fr-BE"/>
        </w:rPr>
        <w:t>M</w:t>
      </w:r>
      <w:r w:rsidRPr="00C57832">
        <w:rPr>
          <w:lang w:val="fr-BE"/>
        </w:rPr>
        <w:t>arché, il est renvoyé aux clauses techniques mentionnées dans la partie II du présent cahier des charges.</w:t>
      </w:r>
    </w:p>
    <w:p w14:paraId="70C50587" w14:textId="4E80491D" w:rsidR="006B4934" w:rsidRPr="00C57832" w:rsidRDefault="008D0025" w:rsidP="008D0025">
      <w:pPr>
        <w:rPr>
          <w:lang w:val="fr-BE"/>
        </w:rPr>
      </w:pPr>
      <w:r w:rsidRPr="00C57832">
        <w:rPr>
          <w:lang w:val="fr-BE"/>
        </w:rPr>
        <w:t>Il s’agit d’un marché à bordereau de prix (A.R. 18 avril 2017, art. 2, 4°).</w:t>
      </w:r>
    </w:p>
    <w:p w14:paraId="397C7D98" w14:textId="6E6FE610" w:rsidR="006B4934" w:rsidRPr="00A541C4" w:rsidRDefault="006B4934" w:rsidP="00BB166A">
      <w:pPr>
        <w:pStyle w:val="Titre2"/>
        <w:numPr>
          <w:ilvl w:val="0"/>
          <w:numId w:val="24"/>
        </w:numPr>
        <w:rPr>
          <w:rFonts w:eastAsia="Times New Roman"/>
          <w:b/>
          <w:iCs w:val="0"/>
          <w:kern w:val="32"/>
          <w:szCs w:val="24"/>
          <w:lang w:val="fr-FR" w:eastAsia="nl-NL"/>
        </w:rPr>
      </w:pPr>
      <w:bookmarkStart w:id="10" w:name="_Toc200945491"/>
      <w:bookmarkStart w:id="11" w:name="_Toc201025124"/>
      <w:bookmarkStart w:id="12" w:name="_Toc201587429"/>
      <w:bookmarkStart w:id="13" w:name="_Toc513197730"/>
      <w:r w:rsidRPr="00A541C4">
        <w:rPr>
          <w:rFonts w:eastAsia="Times New Roman"/>
          <w:b/>
          <w:iCs w:val="0"/>
          <w:kern w:val="32"/>
          <w:szCs w:val="24"/>
          <w:lang w:val="fr-FR" w:eastAsia="nl-NL"/>
        </w:rPr>
        <w:t xml:space="preserve">Durée du </w:t>
      </w:r>
      <w:r w:rsidR="008D0025" w:rsidRPr="00A541C4">
        <w:rPr>
          <w:rFonts w:eastAsia="Times New Roman"/>
          <w:b/>
          <w:iCs w:val="0"/>
          <w:kern w:val="32"/>
          <w:szCs w:val="24"/>
          <w:lang w:val="fr-FR" w:eastAsia="nl-NL"/>
        </w:rPr>
        <w:t>contrat (art. 147 AR Exécution)</w:t>
      </w:r>
      <w:bookmarkEnd w:id="10"/>
      <w:bookmarkEnd w:id="11"/>
      <w:bookmarkEnd w:id="12"/>
      <w:bookmarkEnd w:id="13"/>
    </w:p>
    <w:p w14:paraId="7CA2628F" w14:textId="00CC48B9" w:rsidR="00904F4C" w:rsidRPr="00C57832" w:rsidRDefault="006B4934" w:rsidP="00B52F18">
      <w:pPr>
        <w:spacing w:before="240"/>
        <w:rPr>
          <w:lang w:val="fr-BE"/>
        </w:rPr>
      </w:pPr>
      <w:r w:rsidRPr="00C57832">
        <w:rPr>
          <w:lang w:val="fr-BE"/>
        </w:rPr>
        <w:t xml:space="preserve">Le </w:t>
      </w:r>
      <w:r w:rsidR="00904F4C" w:rsidRPr="00C57832">
        <w:rPr>
          <w:lang w:val="fr-BE"/>
        </w:rPr>
        <w:t>M</w:t>
      </w:r>
      <w:r w:rsidRPr="00C57832">
        <w:rPr>
          <w:lang w:val="fr-BE"/>
        </w:rPr>
        <w:t xml:space="preserve">arché prend cours le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la date de début&gt;</w:t>
      </w:r>
      <w:r w:rsidR="00306B75" w:rsidRPr="00C57832">
        <w:rPr>
          <w:szCs w:val="18"/>
          <w:lang w:val="fr-BE"/>
        </w:rPr>
        <w:fldChar w:fldCharType="end"/>
      </w:r>
      <w:r w:rsidRPr="00C57832">
        <w:rPr>
          <w:lang w:val="fr-BE"/>
        </w:rPr>
        <w:t xml:space="preserve"> et se termine le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la date de fin&gt;</w:t>
      </w:r>
      <w:r w:rsidR="00306B75" w:rsidRPr="00C57832">
        <w:rPr>
          <w:szCs w:val="18"/>
          <w:lang w:val="fr-BE"/>
        </w:rPr>
        <w:fldChar w:fldCharType="end"/>
      </w:r>
      <w:r w:rsidR="008F0928" w:rsidRPr="00C57832">
        <w:rPr>
          <w:rStyle w:val="Appelnotedebasdep"/>
          <w:iCs/>
          <w:szCs w:val="18"/>
          <w:lang w:val="fr-BE" w:eastAsia="nl-NL"/>
        </w:rPr>
        <w:footnoteReference w:id="5"/>
      </w:r>
      <w:r w:rsidR="00AE6FF1" w:rsidRPr="00C57832">
        <w:rPr>
          <w:szCs w:val="18"/>
          <w:lang w:val="fr-BE"/>
        </w:rPr>
        <w:t xml:space="preserve"> </w:t>
      </w:r>
      <w:r w:rsidR="004F2923" w:rsidRPr="00C57832">
        <w:rPr>
          <w:szCs w:val="18"/>
          <w:lang w:val="fr-BE"/>
        </w:rPr>
        <w:t>(ci-après la « Durée initiale »)</w:t>
      </w:r>
      <w:r w:rsidRPr="00C57832">
        <w:rPr>
          <w:lang w:val="fr-BE"/>
        </w:rPr>
        <w:t>.</w:t>
      </w:r>
      <w:r w:rsidR="00904F4C" w:rsidRPr="00C57832">
        <w:rPr>
          <w:lang w:val="fr-BE"/>
        </w:rPr>
        <w:t xml:space="preserve"> </w:t>
      </w:r>
    </w:p>
    <w:p w14:paraId="2CC700AE" w14:textId="1955CC4B" w:rsidR="004F2923" w:rsidRPr="00C57832" w:rsidRDefault="004F2923" w:rsidP="00220C32">
      <w:pPr>
        <w:spacing w:before="240"/>
        <w:jc w:val="both"/>
        <w:rPr>
          <w:rFonts w:eastAsia="Times New Roman"/>
          <w:szCs w:val="18"/>
          <w:lang w:val="fr-BE" w:eastAsia="nl-NL"/>
        </w:rPr>
      </w:pPr>
      <w:r w:rsidRPr="00C57832">
        <w:rPr>
          <w:lang w:val="fr-BE"/>
        </w:rPr>
        <w:t xml:space="preserve">Le Marché peut être prolongé par le </w:t>
      </w:r>
      <w:r w:rsidRPr="00364443">
        <w:rPr>
          <w:lang w:val="fr-BE"/>
        </w:rPr>
        <w:t>pouvoir adjudicateur</w:t>
      </w:r>
      <w:r w:rsidR="000E70C6" w:rsidRPr="00364443">
        <w:rPr>
          <w:rFonts w:cs="Arial"/>
          <w:szCs w:val="18"/>
          <w:lang w:val="fr-BE"/>
        </w:rPr>
        <w:t>, conformément à l’article 57, alinéa 2 de la Loi relative aux marchés publics,</w:t>
      </w:r>
      <w:r w:rsidRPr="00364443">
        <w:rPr>
          <w:lang w:val="fr-BE"/>
        </w:rPr>
        <w:t xml:space="preserve"> pour une durée d’un (1) an</w:t>
      </w:r>
      <w:r w:rsidRPr="00364443">
        <w:rPr>
          <w:rFonts w:eastAsia="Times New Roman"/>
          <w:szCs w:val="18"/>
          <w:lang w:val="fr-BE" w:eastAsia="nl-NL"/>
        </w:rPr>
        <w:t xml:space="preserve">, </w:t>
      </w:r>
      <w:r w:rsidR="00C830DE" w:rsidRPr="00364443">
        <w:rPr>
          <w:lang w:val="fr-BE"/>
        </w:rPr>
        <w:t>renouvelable m</w:t>
      </w:r>
      <w:r w:rsidR="009D5969" w:rsidRPr="00364443">
        <w:rPr>
          <w:lang w:val="fr-BE"/>
        </w:rPr>
        <w:t>axim</w:t>
      </w:r>
      <w:r w:rsidR="00C830DE" w:rsidRPr="00364443">
        <w:rPr>
          <w:lang w:val="fr-BE"/>
        </w:rPr>
        <w:t>um</w:t>
      </w:r>
      <w:r w:rsidR="009D5969" w:rsidRPr="00364443">
        <w:rPr>
          <w:lang w:val="fr-BE"/>
        </w:rPr>
        <w:t xml:space="preserve"> 3</w:t>
      </w:r>
      <w:r w:rsidR="00C830DE" w:rsidRPr="00364443">
        <w:rPr>
          <w:lang w:val="fr-BE"/>
        </w:rPr>
        <w:t xml:space="preserve"> fois, </w:t>
      </w:r>
      <w:r w:rsidRPr="00364443">
        <w:rPr>
          <w:rFonts w:eastAsia="Times New Roman"/>
          <w:szCs w:val="18"/>
          <w:lang w:val="fr-BE" w:eastAsia="nl-NL"/>
        </w:rPr>
        <w:t>à</w:t>
      </w:r>
      <w:r w:rsidRPr="00C57832">
        <w:rPr>
          <w:rFonts w:eastAsia="Times New Roman"/>
          <w:szCs w:val="18"/>
          <w:lang w:val="fr-BE" w:eastAsia="nl-NL"/>
        </w:rPr>
        <w:t xml:space="preserve"> </w:t>
      </w:r>
      <w:r w:rsidRPr="00C57832">
        <w:rPr>
          <w:rFonts w:eastAsia="Times New Roman"/>
          <w:szCs w:val="18"/>
          <w:lang w:val="fr-BE" w:eastAsia="nl-NL"/>
        </w:rPr>
        <w:lastRenderedPageBreak/>
        <w:t xml:space="preserve">condition qu’une telle prolongation </w:t>
      </w:r>
      <w:r w:rsidR="009B5480" w:rsidRPr="00C57832">
        <w:rPr>
          <w:rFonts w:eastAsia="Times New Roman"/>
          <w:szCs w:val="18"/>
          <w:lang w:val="fr-BE" w:eastAsia="nl-NL"/>
        </w:rPr>
        <w:t>soit</w:t>
      </w:r>
      <w:r w:rsidRPr="00C57832">
        <w:rPr>
          <w:rFonts w:eastAsia="Times New Roman"/>
          <w:szCs w:val="18"/>
          <w:lang w:val="fr-BE" w:eastAsia="nl-NL"/>
        </w:rPr>
        <w:t xml:space="preserve"> </w:t>
      </w:r>
      <w:r w:rsidR="009B5480" w:rsidRPr="00C57832">
        <w:rPr>
          <w:rFonts w:eastAsia="Times New Roman"/>
          <w:szCs w:val="18"/>
          <w:lang w:val="fr-BE" w:eastAsia="nl-NL"/>
        </w:rPr>
        <w:t>confirmée</w:t>
      </w:r>
      <w:r w:rsidRPr="00C57832">
        <w:rPr>
          <w:rFonts w:eastAsia="Times New Roman"/>
          <w:szCs w:val="18"/>
          <w:lang w:val="fr-BE" w:eastAsia="nl-NL"/>
        </w:rPr>
        <w:t xml:space="preserve"> par courrier recommandée par le pouvoir adjudicateur au moins </w:t>
      </w:r>
      <w:r w:rsidR="00BE6897" w:rsidRPr="00C57832">
        <w:rPr>
          <w:rFonts w:eastAsia="Times New Roman"/>
          <w:szCs w:val="18"/>
          <w:lang w:val="fr-BE" w:eastAsia="nl-NL"/>
        </w:rPr>
        <w:t>(</w:t>
      </w:r>
      <w:r w:rsidR="000B00F6" w:rsidRPr="00C57832">
        <w:rPr>
          <w:rFonts w:eastAsia="Times New Roman"/>
          <w:szCs w:val="18"/>
          <w:lang w:val="fr-BE" w:eastAsia="nl-NL"/>
        </w:rPr>
        <w:t>neuf/</w:t>
      </w:r>
      <w:r w:rsidR="00BE6897" w:rsidRPr="00C57832">
        <w:rPr>
          <w:rFonts w:eastAsia="Times New Roman"/>
          <w:szCs w:val="18"/>
          <w:lang w:val="fr-BE" w:eastAsia="nl-NL"/>
        </w:rPr>
        <w:t>six/</w:t>
      </w:r>
      <w:r w:rsidRPr="00C57832">
        <w:rPr>
          <w:rFonts w:eastAsia="Times New Roman"/>
          <w:szCs w:val="18"/>
          <w:lang w:val="fr-BE" w:eastAsia="nl-NL"/>
        </w:rPr>
        <w:t>trois</w:t>
      </w:r>
      <w:r w:rsidR="00BE6897" w:rsidRPr="00C57832">
        <w:rPr>
          <w:rFonts w:eastAsia="Times New Roman"/>
          <w:szCs w:val="18"/>
          <w:lang w:val="fr-BE" w:eastAsia="nl-NL"/>
        </w:rPr>
        <w:t>)</w:t>
      </w:r>
      <w:r w:rsidRPr="00C57832">
        <w:rPr>
          <w:rFonts w:eastAsia="Times New Roman"/>
          <w:szCs w:val="18"/>
          <w:lang w:val="fr-BE" w:eastAsia="nl-NL"/>
        </w:rPr>
        <w:t xml:space="preserve"> (</w:t>
      </w:r>
      <w:r w:rsidR="000B00F6" w:rsidRPr="00C57832">
        <w:rPr>
          <w:rFonts w:eastAsia="Times New Roman"/>
          <w:szCs w:val="18"/>
          <w:lang w:val="fr-BE" w:eastAsia="nl-NL"/>
        </w:rPr>
        <w:t>9/</w:t>
      </w:r>
      <w:r w:rsidR="00BE6897" w:rsidRPr="00C57832">
        <w:rPr>
          <w:rFonts w:eastAsia="Times New Roman"/>
          <w:szCs w:val="18"/>
          <w:lang w:val="fr-BE" w:eastAsia="nl-NL"/>
        </w:rPr>
        <w:t>6/</w:t>
      </w:r>
      <w:r w:rsidRPr="00C57832">
        <w:rPr>
          <w:rFonts w:eastAsia="Times New Roman"/>
          <w:szCs w:val="18"/>
          <w:lang w:val="fr-BE" w:eastAsia="nl-NL"/>
        </w:rPr>
        <w:t>3) mois avant la fin de la Durée initiale du Marché.</w:t>
      </w:r>
    </w:p>
    <w:p w14:paraId="3B176FB3" w14:textId="77777777" w:rsidR="000E70C6" w:rsidRPr="00C57832" w:rsidRDefault="000E70C6" w:rsidP="000E70C6">
      <w:pPr>
        <w:spacing w:before="240" w:after="120"/>
        <w:jc w:val="both"/>
        <w:rPr>
          <w:lang w:val="fr-BE"/>
        </w:rPr>
      </w:pPr>
      <w:r w:rsidRPr="00C57832">
        <w:rPr>
          <w:lang w:val="fr-BE"/>
        </w:rPr>
        <w:t>La reconduction implique que les conditions contractuelles restent inchangées.</w:t>
      </w:r>
    </w:p>
    <w:p w14:paraId="397C7D9A" w14:textId="55D9EB8C" w:rsidR="006B4934" w:rsidRPr="007904B8" w:rsidRDefault="006B4934" w:rsidP="00BB166A">
      <w:pPr>
        <w:pStyle w:val="Titre2"/>
        <w:numPr>
          <w:ilvl w:val="0"/>
          <w:numId w:val="24"/>
        </w:numPr>
        <w:rPr>
          <w:rFonts w:eastAsia="Times New Roman"/>
          <w:b/>
          <w:iCs w:val="0"/>
          <w:kern w:val="32"/>
          <w:szCs w:val="24"/>
          <w:lang w:eastAsia="nl-NL"/>
        </w:rPr>
      </w:pPr>
      <w:bookmarkStart w:id="14" w:name="_Toc200945492"/>
      <w:bookmarkStart w:id="15" w:name="_Toc201025125"/>
      <w:bookmarkStart w:id="16" w:name="_Toc201587430"/>
      <w:bookmarkStart w:id="17" w:name="_Toc513197731"/>
      <w:proofErr w:type="spellStart"/>
      <w:r w:rsidRPr="007904B8">
        <w:rPr>
          <w:rFonts w:eastAsia="Times New Roman"/>
          <w:b/>
          <w:iCs w:val="0"/>
          <w:kern w:val="32"/>
          <w:szCs w:val="24"/>
          <w:lang w:eastAsia="nl-NL"/>
        </w:rPr>
        <w:t>Pouvoir</w:t>
      </w:r>
      <w:proofErr w:type="spellEnd"/>
      <w:r w:rsidRPr="007904B8">
        <w:rPr>
          <w:rFonts w:eastAsia="Times New Roman"/>
          <w:b/>
          <w:iCs w:val="0"/>
          <w:kern w:val="32"/>
          <w:szCs w:val="24"/>
          <w:lang w:eastAsia="nl-NL"/>
        </w:rPr>
        <w:t xml:space="preserve"> </w:t>
      </w:r>
      <w:proofErr w:type="spellStart"/>
      <w:r w:rsidRPr="007904B8">
        <w:rPr>
          <w:rFonts w:eastAsia="Times New Roman"/>
          <w:b/>
          <w:iCs w:val="0"/>
          <w:kern w:val="32"/>
          <w:szCs w:val="24"/>
          <w:lang w:eastAsia="nl-NL"/>
        </w:rPr>
        <w:t>adjudicateur</w:t>
      </w:r>
      <w:bookmarkEnd w:id="14"/>
      <w:bookmarkEnd w:id="15"/>
      <w:bookmarkEnd w:id="16"/>
      <w:bookmarkEnd w:id="17"/>
      <w:proofErr w:type="spellEnd"/>
      <w:r w:rsidRPr="007904B8">
        <w:rPr>
          <w:rFonts w:eastAsia="Times New Roman"/>
          <w:b/>
          <w:iCs w:val="0"/>
          <w:kern w:val="32"/>
          <w:szCs w:val="24"/>
          <w:lang w:eastAsia="nl-NL"/>
        </w:rPr>
        <w:t xml:space="preserve"> </w:t>
      </w:r>
    </w:p>
    <w:p w14:paraId="397C7D9B" w14:textId="77777777" w:rsidR="006B4934" w:rsidRPr="00C57832" w:rsidRDefault="006B4934" w:rsidP="00B52F18">
      <w:pPr>
        <w:spacing w:before="240"/>
        <w:rPr>
          <w:lang w:val="fr-BE"/>
        </w:rPr>
      </w:pPr>
      <w:r w:rsidRPr="00C57832">
        <w:rPr>
          <w:lang w:val="fr-BE"/>
        </w:rPr>
        <w:t xml:space="preserve">Le pouvoir adjudicateur est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les nom et adresse du pouvoir adjudicateur&gt;</w:t>
      </w:r>
      <w:r w:rsidR="00306B75" w:rsidRPr="00C57832">
        <w:rPr>
          <w:szCs w:val="18"/>
          <w:lang w:val="fr-BE"/>
        </w:rPr>
        <w:fldChar w:fldCharType="end"/>
      </w:r>
      <w:r w:rsidRPr="00C57832">
        <w:rPr>
          <w:lang w:val="fr-BE"/>
        </w:rPr>
        <w:t xml:space="preserve">. </w:t>
      </w:r>
    </w:p>
    <w:p w14:paraId="06228B9B" w14:textId="4AFC2CE6" w:rsidR="00CE536D" w:rsidRPr="00364443" w:rsidRDefault="00CE536D" w:rsidP="00CE536D">
      <w:pPr>
        <w:rPr>
          <w:lang w:val="fr-BE"/>
        </w:rPr>
      </w:pPr>
      <w:r w:rsidRPr="00C57832">
        <w:rPr>
          <w:rFonts w:cs="Arial"/>
          <w:szCs w:val="18"/>
          <w:lang w:val="fr-BE"/>
        </w:rPr>
        <w:t xml:space="preserve">Les </w:t>
      </w:r>
      <w:r w:rsidRPr="00364443">
        <w:rPr>
          <w:rFonts w:cs="Arial"/>
          <w:szCs w:val="18"/>
          <w:lang w:val="fr-BE"/>
        </w:rPr>
        <w:t>documents du marché sont gratuits, disponibles, complets et</w:t>
      </w:r>
      <w:r w:rsidR="00192CB6" w:rsidRPr="00364443">
        <w:rPr>
          <w:rFonts w:cs="Arial"/>
          <w:szCs w:val="18"/>
          <w:lang w:val="fr-BE"/>
        </w:rPr>
        <w:t xml:space="preserve"> directement accessibles </w:t>
      </w:r>
      <w:r w:rsidR="00192CB6" w:rsidRPr="00364443">
        <w:rPr>
          <w:lang w:val="fr-BE"/>
        </w:rPr>
        <w:t>sur le site web e-notification (</w:t>
      </w:r>
      <w:hyperlink r:id="rId15" w:history="1">
        <w:r w:rsidR="00192CB6" w:rsidRPr="00364443">
          <w:rPr>
            <w:lang w:val="fr-BE"/>
          </w:rPr>
          <w:t>https://enot.publicprocurement.be/</w:t>
        </w:r>
      </w:hyperlink>
      <w:r w:rsidR="00192CB6" w:rsidRPr="00364443">
        <w:rPr>
          <w:lang w:val="fr-BE"/>
        </w:rPr>
        <w:t>).</w:t>
      </w:r>
    </w:p>
    <w:p w14:paraId="397C7D9C" w14:textId="77777777" w:rsidR="006B4934" w:rsidRPr="00C57832" w:rsidRDefault="006B4934">
      <w:pPr>
        <w:rPr>
          <w:lang w:val="fr-BE"/>
        </w:rPr>
      </w:pPr>
      <w:r w:rsidRPr="00C57832">
        <w:rPr>
          <w:lang w:val="fr-BE"/>
        </w:rPr>
        <w:t xml:space="preserve">Des informations complémentaires concernant la procédure peuvent être obtenues auprès de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les nom, adresse, numéro de téléphone, fax et adresse e-mail de la personne de contact&gt;</w:t>
      </w:r>
      <w:r w:rsidR="00306B75" w:rsidRPr="00C57832">
        <w:rPr>
          <w:szCs w:val="18"/>
          <w:lang w:val="fr-BE"/>
        </w:rPr>
        <w:fldChar w:fldCharType="end"/>
      </w:r>
      <w:r w:rsidRPr="00C57832">
        <w:rPr>
          <w:szCs w:val="18"/>
          <w:lang w:val="fr-BE"/>
        </w:rPr>
        <w:t xml:space="preserve">. </w:t>
      </w:r>
    </w:p>
    <w:p w14:paraId="397C7D9D" w14:textId="57386216" w:rsidR="006B4934" w:rsidRPr="00C57832" w:rsidRDefault="006B4934">
      <w:pPr>
        <w:rPr>
          <w:szCs w:val="18"/>
          <w:lang w:val="fr-BE"/>
        </w:rPr>
      </w:pPr>
      <w:r w:rsidRPr="00C57832">
        <w:rPr>
          <w:lang w:val="fr-BE"/>
        </w:rPr>
        <w:t xml:space="preserve">Des informations complémentaires concernant le contenu de la mission peuvent être obtenues auprès de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les nom, adresse, numéro de téléphone, fax et adresse e-mail de la personne de contact&gt;</w:t>
      </w:r>
      <w:r w:rsidR="00306B75" w:rsidRPr="00C57832">
        <w:rPr>
          <w:szCs w:val="18"/>
          <w:lang w:val="fr-BE"/>
        </w:rPr>
        <w:fldChar w:fldCharType="end"/>
      </w:r>
      <w:r w:rsidRPr="00C57832">
        <w:rPr>
          <w:szCs w:val="18"/>
          <w:lang w:val="fr-BE"/>
        </w:rPr>
        <w:t xml:space="preserve">. </w:t>
      </w:r>
    </w:p>
    <w:p w14:paraId="04569BCD" w14:textId="7B3D3A18" w:rsidR="008D0025" w:rsidRPr="007904B8" w:rsidRDefault="008D0025" w:rsidP="00BB166A">
      <w:pPr>
        <w:pStyle w:val="Titre2"/>
        <w:numPr>
          <w:ilvl w:val="0"/>
          <w:numId w:val="24"/>
        </w:numPr>
        <w:rPr>
          <w:rFonts w:eastAsia="Times New Roman"/>
          <w:b/>
          <w:iCs w:val="0"/>
          <w:kern w:val="32"/>
          <w:szCs w:val="24"/>
          <w:lang w:eastAsia="nl-NL"/>
        </w:rPr>
      </w:pPr>
      <w:proofErr w:type="spellStart"/>
      <w:r w:rsidRPr="007904B8">
        <w:rPr>
          <w:rFonts w:eastAsia="Times New Roman"/>
          <w:b/>
          <w:iCs w:val="0"/>
          <w:kern w:val="32"/>
          <w:szCs w:val="24"/>
          <w:lang w:eastAsia="nl-NL"/>
        </w:rPr>
        <w:t>Session</w:t>
      </w:r>
      <w:proofErr w:type="spellEnd"/>
      <w:r w:rsidRPr="007904B8">
        <w:rPr>
          <w:rFonts w:eastAsia="Times New Roman"/>
          <w:b/>
          <w:iCs w:val="0"/>
          <w:kern w:val="32"/>
          <w:szCs w:val="24"/>
          <w:lang w:eastAsia="nl-NL"/>
        </w:rPr>
        <w:t xml:space="preserve"> </w:t>
      </w:r>
      <w:proofErr w:type="spellStart"/>
      <w:r w:rsidRPr="007904B8">
        <w:rPr>
          <w:rFonts w:eastAsia="Times New Roman"/>
          <w:b/>
          <w:iCs w:val="0"/>
          <w:kern w:val="32"/>
          <w:szCs w:val="24"/>
          <w:lang w:eastAsia="nl-NL"/>
        </w:rPr>
        <w:t>d’information</w:t>
      </w:r>
      <w:proofErr w:type="spellEnd"/>
    </w:p>
    <w:p w14:paraId="0B0B4678" w14:textId="269A65B8" w:rsidR="000A0D91" w:rsidRPr="00C57832" w:rsidRDefault="008D0025" w:rsidP="00391086">
      <w:pPr>
        <w:spacing w:before="240"/>
        <w:rPr>
          <w:lang w:val="fr-BE"/>
        </w:rPr>
      </w:pPr>
      <w:r w:rsidRPr="00C57832">
        <w:rPr>
          <w:lang w:val="fr-BE"/>
        </w:rPr>
        <w:t xml:space="preserve">Vu la complexité du marché, le pouvoir adjudicateur a décidé d’organiser une session d’information à l’intention des soumissionnaires potentiels. Ces derniers pourront poser des questions et assister à la session.  </w:t>
      </w:r>
      <w:r w:rsidRPr="00364443">
        <w:rPr>
          <w:lang w:val="fr-BE"/>
        </w:rPr>
        <w:t>Elle aura lieu entre la date de l’envoi du cahier spécial des charges aux candidats sélectionnés et la date ultime de la remise des offres</w:t>
      </w:r>
      <w:r w:rsidRPr="00C57832">
        <w:rPr>
          <w:lang w:val="fr-BE"/>
        </w:rPr>
        <w:t>.</w:t>
      </w:r>
      <w:r w:rsidR="000A0D91" w:rsidRPr="00C57832">
        <w:rPr>
          <w:lang w:val="fr-BE"/>
        </w:rPr>
        <w:t xml:space="preserve"> </w:t>
      </w:r>
    </w:p>
    <w:p w14:paraId="679B8137" w14:textId="77777777" w:rsidR="008D0025" w:rsidRPr="00C57832" w:rsidRDefault="008D0025" w:rsidP="008D0025">
      <w:pPr>
        <w:rPr>
          <w:lang w:val="fr-BE"/>
        </w:rPr>
      </w:pPr>
      <w:r w:rsidRPr="00C57832">
        <w:rPr>
          <w:lang w:val="fr-BE"/>
        </w:rPr>
        <w:t xml:space="preserve">Cette session d’information se tiendra le </w:t>
      </w:r>
      <w:r w:rsidRPr="00C57832">
        <w:rPr>
          <w:highlight w:val="lightGray"/>
          <w:lang w:val="fr-BE"/>
        </w:rPr>
        <w:t>&lt; date &gt;</w:t>
      </w:r>
      <w:r w:rsidRPr="00C57832">
        <w:rPr>
          <w:lang w:val="fr-BE"/>
        </w:rPr>
        <w:t xml:space="preserve"> à </w:t>
      </w:r>
      <w:r w:rsidRPr="00C57832">
        <w:rPr>
          <w:highlight w:val="lightGray"/>
          <w:lang w:val="fr-BE"/>
        </w:rPr>
        <w:t>&lt; heure &gt;</w:t>
      </w:r>
      <w:r w:rsidRPr="00C57832">
        <w:rPr>
          <w:lang w:val="fr-BE"/>
        </w:rPr>
        <w:t xml:space="preserve"> à l’adresse suivante </w:t>
      </w:r>
      <w:r w:rsidRPr="00C57832">
        <w:rPr>
          <w:highlight w:val="lightGray"/>
          <w:lang w:val="fr-BE"/>
        </w:rPr>
        <w:t>&lt; adresse + numéro de la salle de réunion &gt;</w:t>
      </w:r>
      <w:r w:rsidRPr="00C57832">
        <w:rPr>
          <w:lang w:val="fr-BE"/>
        </w:rPr>
        <w:t>.</w:t>
      </w:r>
    </w:p>
    <w:p w14:paraId="53B91AF5" w14:textId="77777777" w:rsidR="008D0025" w:rsidRPr="00C57832" w:rsidRDefault="008D0025" w:rsidP="008D0025">
      <w:pPr>
        <w:rPr>
          <w:lang w:val="fr-BE"/>
        </w:rPr>
      </w:pPr>
      <w:r w:rsidRPr="00C57832">
        <w:rPr>
          <w:lang w:val="fr-BE"/>
        </w:rPr>
        <w:t>Un court aperçu de l’objet du marché sera fourni lors de cette session d’information.</w:t>
      </w:r>
    </w:p>
    <w:p w14:paraId="7F4C0C21" w14:textId="77777777" w:rsidR="008D0025" w:rsidRPr="00C57832" w:rsidRDefault="008D0025" w:rsidP="008D0025">
      <w:pPr>
        <w:rPr>
          <w:lang w:val="fr-BE"/>
        </w:rPr>
      </w:pPr>
      <w:r w:rsidRPr="00C57832">
        <w:rPr>
          <w:lang w:val="fr-BE"/>
        </w:rPr>
        <w:t>Afin de permettre un déroulement correct de la session d’information, les soumissionnaires potentiels qui souhaitent y assister sont priés de faire parvenir leurs questions au pouvoir adjudicateur exclusivement par e-mail. L’adresse e-mail est &lt; adresse e-mail &gt;. Seules les questions qui seront parvenues au pouvoir adjudicateur la veille de la session d’information, seront traitées pendant cette session.</w:t>
      </w:r>
    </w:p>
    <w:p w14:paraId="237A5A1B" w14:textId="77777777" w:rsidR="008D0025" w:rsidRPr="00C57832" w:rsidRDefault="008D0025" w:rsidP="008D0025">
      <w:pPr>
        <w:rPr>
          <w:lang w:val="fr-BE"/>
        </w:rPr>
      </w:pPr>
      <w:r w:rsidRPr="00C57832">
        <w:rPr>
          <w:lang w:val="fr-BE"/>
        </w:rPr>
        <w:t>A l’entrée de la salle de réunion, il sera demandé aux présents de mentionner l’identité de l’entreprise qu’ils représentent ainsi que leur adresse complète sur une liste de présence.</w:t>
      </w:r>
    </w:p>
    <w:p w14:paraId="27DF8B10" w14:textId="42D9007F" w:rsidR="008D0025" w:rsidRPr="00364443" w:rsidRDefault="008D0025" w:rsidP="008D0025">
      <w:pPr>
        <w:rPr>
          <w:lang w:val="fr-BE"/>
        </w:rPr>
      </w:pPr>
      <w:r w:rsidRPr="00C57832">
        <w:rPr>
          <w:lang w:val="fr-BE"/>
        </w:rPr>
        <w:t xml:space="preserve">A l’issue de la </w:t>
      </w:r>
      <w:r w:rsidRPr="00364443">
        <w:rPr>
          <w:lang w:val="fr-BE"/>
        </w:rPr>
        <w:t>session d’information, le pouvoir adjudicateur publiera le procès-verbal de la session d’information sur le site</w:t>
      </w:r>
      <w:r w:rsidR="00E84029" w:rsidRPr="00364443">
        <w:rPr>
          <w:lang w:val="fr-BE"/>
        </w:rPr>
        <w:t xml:space="preserve"> &lt; à compléter&gt;.</w:t>
      </w:r>
    </w:p>
    <w:p w14:paraId="5DDF92BD" w14:textId="77777777" w:rsidR="002B2049" w:rsidRPr="00C57832" w:rsidRDefault="002B2049" w:rsidP="002B2049">
      <w:pPr>
        <w:pStyle w:val="Titre2"/>
        <w:rPr>
          <w:lang w:val="fr-BE"/>
        </w:rPr>
      </w:pPr>
      <w:bookmarkStart w:id="18" w:name="_Toc200945493"/>
      <w:bookmarkStart w:id="19" w:name="_Toc201025126"/>
      <w:bookmarkStart w:id="20" w:name="_Toc201587431"/>
      <w:bookmarkStart w:id="21" w:name="_Toc513197732"/>
      <w:r w:rsidRPr="00364443">
        <w:rPr>
          <w:rFonts w:cs="Times New Roman"/>
          <w:bCs w:val="0"/>
          <w:iCs w:val="0"/>
          <w:sz w:val="18"/>
          <w:szCs w:val="24"/>
          <w:lang w:val="fr-BE"/>
        </w:rPr>
        <w:t>Les soumissionnaires potentiels qui n’ont pu être présents à la</w:t>
      </w:r>
      <w:r w:rsidRPr="00C57832">
        <w:rPr>
          <w:rFonts w:cs="Times New Roman"/>
          <w:bCs w:val="0"/>
          <w:iCs w:val="0"/>
          <w:sz w:val="18"/>
          <w:szCs w:val="24"/>
          <w:lang w:val="fr-BE"/>
        </w:rPr>
        <w:t xml:space="preserve"> session d’information auront la possibilité d’obtenir le procès-verbal sur le site précité.</w:t>
      </w:r>
    </w:p>
    <w:p w14:paraId="2F1CB157" w14:textId="336C5402" w:rsidR="008D0025" w:rsidRPr="007904B8" w:rsidRDefault="008D0025" w:rsidP="002B2049">
      <w:pPr>
        <w:pStyle w:val="Titre2"/>
        <w:numPr>
          <w:ilvl w:val="0"/>
          <w:numId w:val="24"/>
        </w:numPr>
        <w:rPr>
          <w:rFonts w:eastAsia="Times New Roman"/>
          <w:b/>
          <w:iCs w:val="0"/>
          <w:kern w:val="32"/>
          <w:szCs w:val="24"/>
          <w:lang w:eastAsia="nl-NL"/>
        </w:rPr>
      </w:pPr>
      <w:proofErr w:type="spellStart"/>
      <w:r w:rsidRPr="007904B8">
        <w:rPr>
          <w:rFonts w:eastAsia="Times New Roman"/>
          <w:b/>
          <w:iCs w:val="0"/>
          <w:kern w:val="32"/>
          <w:szCs w:val="24"/>
          <w:lang w:eastAsia="nl-NL"/>
        </w:rPr>
        <w:t>Introduction</w:t>
      </w:r>
      <w:proofErr w:type="spellEnd"/>
      <w:r w:rsidRPr="007904B8">
        <w:rPr>
          <w:rFonts w:eastAsia="Times New Roman"/>
          <w:b/>
          <w:iCs w:val="0"/>
          <w:kern w:val="32"/>
          <w:szCs w:val="24"/>
          <w:lang w:eastAsia="nl-NL"/>
        </w:rPr>
        <w:t xml:space="preserve"> des </w:t>
      </w:r>
      <w:proofErr w:type="spellStart"/>
      <w:r w:rsidRPr="007904B8">
        <w:rPr>
          <w:rFonts w:eastAsia="Times New Roman"/>
          <w:b/>
          <w:iCs w:val="0"/>
          <w:kern w:val="32"/>
          <w:szCs w:val="24"/>
          <w:lang w:eastAsia="nl-NL"/>
        </w:rPr>
        <w:t>offres</w:t>
      </w:r>
      <w:proofErr w:type="spellEnd"/>
    </w:p>
    <w:bookmarkEnd w:id="18"/>
    <w:bookmarkEnd w:id="19"/>
    <w:bookmarkEnd w:id="20"/>
    <w:bookmarkEnd w:id="21"/>
    <w:p w14:paraId="3B8FC6AF" w14:textId="7893135A" w:rsidR="008D0025" w:rsidRPr="00C57832" w:rsidRDefault="008D0025" w:rsidP="00BB166A">
      <w:pPr>
        <w:pStyle w:val="Titre3"/>
        <w:numPr>
          <w:ilvl w:val="1"/>
          <w:numId w:val="24"/>
        </w:numPr>
        <w:spacing w:after="100" w:afterAutospacing="1"/>
        <w:rPr>
          <w:sz w:val="22"/>
          <w:lang w:val="fr-BE" w:eastAsia="nl-NL"/>
        </w:rPr>
      </w:pPr>
      <w:r w:rsidRPr="00C57832">
        <w:rPr>
          <w:sz w:val="22"/>
          <w:lang w:val="fr-BE" w:eastAsia="nl-NL"/>
        </w:rPr>
        <w:t>Droit et mode d’introduction des offres</w:t>
      </w:r>
    </w:p>
    <w:p w14:paraId="5F1EF369" w14:textId="77777777" w:rsidR="001C26E1" w:rsidRPr="00C57832" w:rsidRDefault="008D0025" w:rsidP="008D0025">
      <w:pPr>
        <w:rPr>
          <w:lang w:val="fr-BE"/>
        </w:rPr>
      </w:pPr>
      <w:r w:rsidRPr="00C57832">
        <w:rPr>
          <w:lang w:val="fr-BE"/>
        </w:rPr>
        <w:t xml:space="preserve">Sans préjudice des variantes éventuelles, chaque soumissionnaire ne peut remettre qu'une offre par marché. </w:t>
      </w:r>
    </w:p>
    <w:p w14:paraId="08204F0C" w14:textId="34E5634B" w:rsidR="008D0025" w:rsidRPr="00C57832" w:rsidRDefault="008D0025" w:rsidP="008D0025">
      <w:pPr>
        <w:rPr>
          <w:lang w:val="fr-BE"/>
        </w:rPr>
      </w:pPr>
      <w:r w:rsidRPr="00C57832">
        <w:rPr>
          <w:lang w:val="fr-BE"/>
        </w:rPr>
        <w:t>Chaque participant à un groupement d’opérateurs économiques sans personnalité juridique est considéré comme un soumissionnaire. Les participants à un groupement d’opérateurs économiques sans personnalité juridique doivent désigner celui d’entre eux qui représentera le groupement à l’égard du pouvoir adjudicateur.</w:t>
      </w:r>
    </w:p>
    <w:p w14:paraId="547F002E" w14:textId="430EE809" w:rsidR="00BF4DF8" w:rsidRPr="00364443" w:rsidRDefault="00A84963" w:rsidP="00BF4DF8">
      <w:pPr>
        <w:rPr>
          <w:szCs w:val="18"/>
          <w:lang w:val="fr-BE"/>
        </w:rPr>
      </w:pPr>
      <w:r w:rsidRPr="00364443">
        <w:rPr>
          <w:szCs w:val="18"/>
          <w:lang w:val="fr-BE"/>
        </w:rPr>
        <w:lastRenderedPageBreak/>
        <w:t>Seules les</w:t>
      </w:r>
      <w:r w:rsidR="00BF4DF8" w:rsidRPr="00364443">
        <w:rPr>
          <w:szCs w:val="18"/>
          <w:lang w:val="fr-BE"/>
        </w:rPr>
        <w:t xml:space="preserve"> offres </w:t>
      </w:r>
      <w:r w:rsidRPr="00364443">
        <w:rPr>
          <w:szCs w:val="18"/>
          <w:lang w:val="fr-BE"/>
        </w:rPr>
        <w:t>envoyées</w:t>
      </w:r>
      <w:r w:rsidR="00771684" w:rsidRPr="00364443">
        <w:rPr>
          <w:szCs w:val="18"/>
          <w:lang w:val="fr-BE"/>
        </w:rPr>
        <w:t xml:space="preserve"> </w:t>
      </w:r>
      <w:r w:rsidRPr="00364443">
        <w:rPr>
          <w:szCs w:val="18"/>
          <w:lang w:val="fr-BE"/>
        </w:rPr>
        <w:t>au plus tard le</w:t>
      </w:r>
      <w:r w:rsidR="00BF4DF8" w:rsidRPr="00364443">
        <w:rPr>
          <w:szCs w:val="18"/>
          <w:lang w:val="fr-BE"/>
        </w:rPr>
        <w:t xml:space="preserve"> </w:t>
      </w:r>
      <w:r w:rsidR="00BF4DF8" w:rsidRPr="00364443">
        <w:rPr>
          <w:szCs w:val="18"/>
          <w:highlight w:val="lightGray"/>
          <w:lang w:val="fr-BE"/>
        </w:rPr>
        <w:t>xxx</w:t>
      </w:r>
      <w:r w:rsidR="00BF4DF8" w:rsidRPr="00364443">
        <w:rPr>
          <w:szCs w:val="18"/>
          <w:lang w:val="fr-BE"/>
        </w:rPr>
        <w:t xml:space="preserve"> </w:t>
      </w:r>
      <w:r w:rsidRPr="00364443">
        <w:rPr>
          <w:szCs w:val="18"/>
          <w:lang w:val="fr-BE"/>
        </w:rPr>
        <w:t xml:space="preserve">avant </w:t>
      </w:r>
      <w:r w:rsidR="008C543D" w:rsidRPr="00364443">
        <w:rPr>
          <w:szCs w:val="18"/>
          <w:lang w:val="fr-BE"/>
        </w:rPr>
        <w:t>14 heures</w:t>
      </w:r>
      <w:r w:rsidR="00BF4DF8" w:rsidRPr="00364443">
        <w:rPr>
          <w:szCs w:val="18"/>
          <w:lang w:val="fr-BE"/>
        </w:rPr>
        <w:t xml:space="preserve"> via </w:t>
      </w:r>
      <w:r w:rsidR="00546783" w:rsidRPr="00364443">
        <w:rPr>
          <w:szCs w:val="18"/>
          <w:lang w:val="fr-BE"/>
        </w:rPr>
        <w:t>le site internet</w:t>
      </w:r>
      <w:r w:rsidR="00BF4DF8" w:rsidRPr="00364443">
        <w:rPr>
          <w:szCs w:val="18"/>
          <w:lang w:val="fr-BE"/>
        </w:rPr>
        <w:t xml:space="preserve"> e-</w:t>
      </w:r>
      <w:proofErr w:type="spellStart"/>
      <w:r w:rsidR="00BF4DF8" w:rsidRPr="00364443">
        <w:rPr>
          <w:szCs w:val="18"/>
          <w:lang w:val="fr-BE"/>
        </w:rPr>
        <w:t>Tendering</w:t>
      </w:r>
      <w:proofErr w:type="spellEnd"/>
      <w:r w:rsidR="00546783" w:rsidRPr="00364443">
        <w:rPr>
          <w:szCs w:val="18"/>
          <w:lang w:val="fr-BE"/>
        </w:rPr>
        <w:t xml:space="preserve">, </w:t>
      </w:r>
      <w:r w:rsidR="00BF4DF8" w:rsidRPr="00364443">
        <w:rPr>
          <w:szCs w:val="18"/>
          <w:u w:val="single"/>
          <w:lang w:val="fr-BE"/>
        </w:rPr>
        <w:t>https://eten.publicprocurement.be/</w:t>
      </w:r>
      <w:r w:rsidR="00BF4DF8" w:rsidRPr="00364443">
        <w:rPr>
          <w:szCs w:val="18"/>
          <w:lang w:val="fr-BE"/>
        </w:rPr>
        <w:t xml:space="preserve">, </w:t>
      </w:r>
      <w:r w:rsidRPr="00364443">
        <w:rPr>
          <w:szCs w:val="18"/>
          <w:lang w:val="fr-BE"/>
        </w:rPr>
        <w:t>seront acceptées par le pouvoir adjudicateur</w:t>
      </w:r>
      <w:r w:rsidR="00BF4DF8" w:rsidRPr="00364443">
        <w:rPr>
          <w:szCs w:val="18"/>
          <w:lang w:val="fr-BE"/>
        </w:rPr>
        <w:t xml:space="preserve">. </w:t>
      </w:r>
    </w:p>
    <w:p w14:paraId="2736C538" w14:textId="32D8F4DD" w:rsidR="00BF4DF8" w:rsidRPr="00364443" w:rsidRDefault="00771684" w:rsidP="00BF4DF8">
      <w:pPr>
        <w:rPr>
          <w:szCs w:val="18"/>
          <w:lang w:val="fr-BE"/>
        </w:rPr>
      </w:pPr>
      <w:r w:rsidRPr="00364443">
        <w:rPr>
          <w:szCs w:val="18"/>
          <w:lang w:val="fr-BE"/>
        </w:rPr>
        <w:t xml:space="preserve">À noter que l’envoi d’une offre </w:t>
      </w:r>
      <w:r w:rsidR="00BF4DF8" w:rsidRPr="00364443">
        <w:rPr>
          <w:szCs w:val="18"/>
          <w:lang w:val="fr-BE"/>
        </w:rPr>
        <w:t>p</w:t>
      </w:r>
      <w:r w:rsidR="00ED3052" w:rsidRPr="00364443">
        <w:rPr>
          <w:szCs w:val="18"/>
          <w:lang w:val="fr-BE"/>
        </w:rPr>
        <w:t>a</w:t>
      </w:r>
      <w:r w:rsidR="00BF4DF8" w:rsidRPr="00364443">
        <w:rPr>
          <w:szCs w:val="18"/>
          <w:lang w:val="fr-BE"/>
        </w:rPr>
        <w:t xml:space="preserve">r e-mail </w:t>
      </w:r>
      <w:r w:rsidR="00ED3052" w:rsidRPr="00364443">
        <w:rPr>
          <w:szCs w:val="18"/>
          <w:lang w:val="fr-BE"/>
        </w:rPr>
        <w:t>ne répond pas à ces conditions</w:t>
      </w:r>
      <w:r w:rsidR="00BF4DF8" w:rsidRPr="00364443">
        <w:rPr>
          <w:szCs w:val="18"/>
          <w:lang w:val="fr-BE"/>
        </w:rPr>
        <w:t xml:space="preserve">. </w:t>
      </w:r>
      <w:r w:rsidR="00ED3052" w:rsidRPr="00364443">
        <w:rPr>
          <w:szCs w:val="18"/>
          <w:lang w:val="fr-BE"/>
        </w:rPr>
        <w:t>Pour cette raison, l’introduction d’une offre par ce biais n’est pas autorisé</w:t>
      </w:r>
      <w:r w:rsidR="00BF4DF8" w:rsidRPr="00364443">
        <w:rPr>
          <w:szCs w:val="18"/>
          <w:lang w:val="fr-BE"/>
        </w:rPr>
        <w:t xml:space="preserve">e. </w:t>
      </w:r>
    </w:p>
    <w:p w14:paraId="7B38CD62" w14:textId="003D4597" w:rsidR="00BF4DF8" w:rsidRPr="00C57832" w:rsidRDefault="00A84963" w:rsidP="00BF4DF8">
      <w:pPr>
        <w:rPr>
          <w:szCs w:val="18"/>
          <w:lang w:val="fr-BE"/>
        </w:rPr>
      </w:pPr>
      <w:r w:rsidRPr="00364443">
        <w:rPr>
          <w:szCs w:val="18"/>
          <w:lang w:val="fr-BE"/>
        </w:rPr>
        <w:t>L’</w:t>
      </w:r>
      <w:r w:rsidR="00BF4DF8" w:rsidRPr="00364443">
        <w:rPr>
          <w:szCs w:val="18"/>
          <w:lang w:val="fr-BE"/>
        </w:rPr>
        <w:t xml:space="preserve">offre </w:t>
      </w:r>
      <w:r w:rsidRPr="00364443">
        <w:rPr>
          <w:szCs w:val="18"/>
          <w:lang w:val="fr-BE"/>
        </w:rPr>
        <w:t>ne peut pas être introduite sur</w:t>
      </w:r>
      <w:r w:rsidR="00BF4DF8" w:rsidRPr="00364443">
        <w:rPr>
          <w:szCs w:val="18"/>
          <w:lang w:val="fr-BE"/>
        </w:rPr>
        <w:t xml:space="preserve"> papier.</w:t>
      </w:r>
    </w:p>
    <w:p w14:paraId="29C7558A" w14:textId="49A355AC" w:rsidR="008D0025" w:rsidRPr="00C57832" w:rsidRDefault="008D0025" w:rsidP="008D0025">
      <w:pPr>
        <w:rPr>
          <w:lang w:val="fr-BE"/>
        </w:rPr>
      </w:pPr>
      <w:r w:rsidRPr="00C57832">
        <w:rPr>
          <w:lang w:val="fr-BE"/>
        </w:rPr>
        <w:t>En introduisant son offre par des moyens électroniques, le soumissionnaire accepte que les données de son offre soient enregistrées par le dispositif de réception.</w:t>
      </w:r>
    </w:p>
    <w:p w14:paraId="5F295590" w14:textId="77777777" w:rsidR="008D0025" w:rsidRPr="00C57832" w:rsidRDefault="008D0025" w:rsidP="008D0025">
      <w:pPr>
        <w:rPr>
          <w:lang w:val="fr-BE"/>
        </w:rPr>
      </w:pPr>
      <w:r w:rsidRPr="00C57832">
        <w:rPr>
          <w:lang w:val="fr-BE"/>
        </w:rPr>
        <w:t xml:space="preserve">Plus d'informations peuvent être obtenues sur le site : http://www.publicprocurement.be ou via le numéro de téléphone </w:t>
      </w:r>
      <w:proofErr w:type="gramStart"/>
      <w:r w:rsidRPr="00C57832">
        <w:rPr>
          <w:lang w:val="fr-BE"/>
        </w:rPr>
        <w:t>du helpdesk</w:t>
      </w:r>
      <w:proofErr w:type="gramEnd"/>
      <w:r w:rsidRPr="00C57832">
        <w:rPr>
          <w:lang w:val="fr-BE"/>
        </w:rPr>
        <w:t xml:space="preserve"> du service e-</w:t>
      </w:r>
      <w:proofErr w:type="spellStart"/>
      <w:r w:rsidRPr="00C57832">
        <w:rPr>
          <w:lang w:val="fr-BE"/>
        </w:rPr>
        <w:t>Procurement</w:t>
      </w:r>
      <w:proofErr w:type="spellEnd"/>
      <w:r w:rsidRPr="00C57832">
        <w:rPr>
          <w:lang w:val="fr-BE"/>
        </w:rPr>
        <w:t xml:space="preserve"> : +32 (0)2 790 52 00.</w:t>
      </w:r>
    </w:p>
    <w:p w14:paraId="4FC46BA0" w14:textId="77777777" w:rsidR="008D0025" w:rsidRPr="00C57832" w:rsidRDefault="008D0025" w:rsidP="008D0025">
      <w:pPr>
        <w:rPr>
          <w:lang w:val="fr-BE"/>
        </w:rPr>
      </w:pPr>
    </w:p>
    <w:p w14:paraId="3D61ABB2" w14:textId="77777777" w:rsidR="008D0025" w:rsidRPr="00C57832" w:rsidRDefault="008D0025" w:rsidP="00E00E32">
      <w:pPr>
        <w:pBdr>
          <w:top w:val="single" w:sz="4" w:space="1" w:color="auto"/>
          <w:left w:val="single" w:sz="4" w:space="4" w:color="auto"/>
          <w:bottom w:val="single" w:sz="4" w:space="1" w:color="auto"/>
          <w:right w:val="single" w:sz="4" w:space="4" w:color="auto"/>
        </w:pBdr>
        <w:rPr>
          <w:lang w:val="fr-BE"/>
        </w:rPr>
      </w:pPr>
      <w:proofErr w:type="gramStart"/>
      <w:r w:rsidRPr="00C57832">
        <w:rPr>
          <w:lang w:val="fr-BE"/>
        </w:rPr>
        <w:t>ATTENTION  !</w:t>
      </w:r>
      <w:proofErr w:type="gramEnd"/>
      <w:r w:rsidRPr="00C57832">
        <w:rPr>
          <w:lang w:val="fr-BE"/>
        </w:rPr>
        <w:t xml:space="preserve"> </w:t>
      </w:r>
    </w:p>
    <w:p w14:paraId="6704ABF2" w14:textId="77777777" w:rsidR="008D0025" w:rsidRPr="00C57832" w:rsidRDefault="008D0025" w:rsidP="00E00E32">
      <w:pPr>
        <w:pBdr>
          <w:top w:val="single" w:sz="4" w:space="1" w:color="auto"/>
          <w:left w:val="single" w:sz="4" w:space="4" w:color="auto"/>
          <w:bottom w:val="single" w:sz="4" w:space="1" w:color="auto"/>
          <w:right w:val="single" w:sz="4" w:space="4" w:color="auto"/>
        </w:pBdr>
        <w:rPr>
          <w:lang w:val="fr-BE"/>
        </w:rPr>
      </w:pPr>
      <w:r w:rsidRPr="00C57832">
        <w:rPr>
          <w:lang w:val="fr-BE"/>
        </w:rPr>
        <w:t>Nous conseillons vivement à chaque soumissionnaire de tester la procédure de soumission à l'avance via e-</w:t>
      </w:r>
      <w:proofErr w:type="spellStart"/>
      <w:r w:rsidRPr="00C57832">
        <w:rPr>
          <w:lang w:val="fr-BE"/>
        </w:rPr>
        <w:t>Tendering</w:t>
      </w:r>
      <w:proofErr w:type="spellEnd"/>
      <w:r w:rsidRPr="00C57832">
        <w:rPr>
          <w:lang w:val="fr-BE"/>
        </w:rPr>
        <w:t>. A cette fin, e-</w:t>
      </w:r>
      <w:proofErr w:type="spellStart"/>
      <w:r w:rsidRPr="00C57832">
        <w:rPr>
          <w:lang w:val="fr-BE"/>
        </w:rPr>
        <w:t>Tendering</w:t>
      </w:r>
      <w:proofErr w:type="spellEnd"/>
      <w:r w:rsidRPr="00C57832">
        <w:rPr>
          <w:lang w:val="fr-BE"/>
        </w:rPr>
        <w:t xml:space="preserve"> a développé un environnement de démonstration : https://etendemo.publicprocurement.be/.</w:t>
      </w:r>
    </w:p>
    <w:p w14:paraId="39454C6A" w14:textId="77777777" w:rsidR="008D0025" w:rsidRPr="00C57832" w:rsidRDefault="008D0025" w:rsidP="00E00E32">
      <w:pPr>
        <w:pBdr>
          <w:top w:val="single" w:sz="4" w:space="1" w:color="auto"/>
          <w:left w:val="single" w:sz="4" w:space="4" w:color="auto"/>
          <w:bottom w:val="single" w:sz="4" w:space="1" w:color="auto"/>
          <w:right w:val="single" w:sz="4" w:space="4" w:color="auto"/>
        </w:pBdr>
        <w:rPr>
          <w:lang w:val="fr-BE"/>
        </w:rPr>
      </w:pPr>
    </w:p>
    <w:p w14:paraId="32914EC2" w14:textId="77777777" w:rsidR="008D0025" w:rsidRPr="00C57832" w:rsidRDefault="008D0025" w:rsidP="00E00E32">
      <w:pPr>
        <w:pBdr>
          <w:top w:val="single" w:sz="4" w:space="1" w:color="auto"/>
          <w:left w:val="single" w:sz="4" w:space="4" w:color="auto"/>
          <w:bottom w:val="single" w:sz="4" w:space="1" w:color="auto"/>
          <w:right w:val="single" w:sz="4" w:space="4" w:color="auto"/>
        </w:pBdr>
        <w:rPr>
          <w:lang w:val="fr-BE"/>
        </w:rPr>
      </w:pPr>
      <w:r w:rsidRPr="00C57832">
        <w:rPr>
          <w:lang w:val="fr-BE"/>
        </w:rPr>
        <w:t xml:space="preserve">Nous vous conseillons de vérifier à temps si vous disposez des certificats / </w:t>
      </w:r>
      <w:proofErr w:type="spellStart"/>
      <w:r w:rsidRPr="00C57832">
        <w:rPr>
          <w:lang w:val="fr-BE"/>
        </w:rPr>
        <w:t>eToken</w:t>
      </w:r>
      <w:proofErr w:type="spellEnd"/>
      <w:r w:rsidRPr="00C57832">
        <w:rPr>
          <w:lang w:val="fr-BE"/>
        </w:rPr>
        <w:t xml:space="preserve"> nécessaires pour signer l'offre via e-</w:t>
      </w:r>
      <w:proofErr w:type="spellStart"/>
      <w:r w:rsidRPr="00C57832">
        <w:rPr>
          <w:lang w:val="fr-BE"/>
        </w:rPr>
        <w:t>Tendering</w:t>
      </w:r>
      <w:proofErr w:type="spellEnd"/>
      <w:r w:rsidRPr="00C57832">
        <w:rPr>
          <w:lang w:val="fr-BE"/>
        </w:rPr>
        <w:t xml:space="preserve">.  Vous trouverez de plus amples informations à ce sujet sur le site Internet http://www.publicprocurement.be ou via </w:t>
      </w:r>
      <w:proofErr w:type="gramStart"/>
      <w:r w:rsidRPr="00C57832">
        <w:rPr>
          <w:lang w:val="fr-BE"/>
        </w:rPr>
        <w:t>le helpdesk</w:t>
      </w:r>
      <w:proofErr w:type="gramEnd"/>
      <w:r w:rsidRPr="00C57832">
        <w:rPr>
          <w:lang w:val="fr-BE"/>
        </w:rPr>
        <w:t xml:space="preserve"> e-</w:t>
      </w:r>
      <w:proofErr w:type="spellStart"/>
      <w:r w:rsidRPr="00C57832">
        <w:rPr>
          <w:lang w:val="fr-BE"/>
        </w:rPr>
        <w:t>procurement</w:t>
      </w:r>
      <w:proofErr w:type="spellEnd"/>
      <w:r w:rsidRPr="00C57832">
        <w:rPr>
          <w:lang w:val="fr-BE"/>
        </w:rPr>
        <w:t xml:space="preserve"> au numéro +32 (0)2740 80 00.</w:t>
      </w:r>
    </w:p>
    <w:p w14:paraId="5C5EADBF" w14:textId="7FD9A742" w:rsidR="008D0025" w:rsidRPr="00C57832" w:rsidRDefault="008D0025" w:rsidP="008D0025">
      <w:pPr>
        <w:rPr>
          <w:lang w:val="fr-BE"/>
        </w:rPr>
      </w:pPr>
    </w:p>
    <w:p w14:paraId="13345688" w14:textId="3E6B0262" w:rsidR="00CE536D" w:rsidRPr="00C57832" w:rsidRDefault="008D0025" w:rsidP="008D0025">
      <w:pPr>
        <w:rPr>
          <w:lang w:val="fr-BE"/>
        </w:rPr>
      </w:pPr>
      <w:r w:rsidRPr="00C57832">
        <w:rPr>
          <w:lang w:val="fr-BE"/>
        </w:rPr>
        <w:t xml:space="preserve">Les offres doivent être soumises au plus </w:t>
      </w:r>
      <w:r w:rsidRPr="00364443">
        <w:rPr>
          <w:lang w:val="fr-BE"/>
        </w:rPr>
        <w:t xml:space="preserve">tard le </w:t>
      </w:r>
      <w:r w:rsidR="001F72E6" w:rsidRPr="00364443">
        <w:rPr>
          <w:rFonts w:eastAsia="Times New Roman"/>
          <w:szCs w:val="18"/>
          <w:highlight w:val="lightGray"/>
          <w:lang w:val="fr-BE" w:eastAsia="nl-NL"/>
        </w:rPr>
        <w:t>xxx</w:t>
      </w:r>
      <w:r w:rsidR="001F72E6" w:rsidRPr="00364443">
        <w:rPr>
          <w:lang w:val="fr-BE"/>
        </w:rPr>
        <w:t xml:space="preserve"> </w:t>
      </w:r>
      <w:r w:rsidRPr="00364443">
        <w:rPr>
          <w:lang w:val="fr-BE"/>
        </w:rPr>
        <w:t>à 14 heures.</w:t>
      </w:r>
    </w:p>
    <w:p w14:paraId="397C7DAE" w14:textId="0CF529F1" w:rsidR="006B4934" w:rsidRPr="00C57832" w:rsidRDefault="006B4934">
      <w:pPr>
        <w:rPr>
          <w:lang w:val="fr-BE"/>
        </w:rPr>
      </w:pPr>
      <w:r w:rsidRPr="00C57832">
        <w:rPr>
          <w:lang w:val="fr-BE"/>
        </w:rPr>
        <w:t xml:space="preserve">Dans le cadre de l'examen des offres par le pouvoir adjudicateur, il est rappelé aux soumissionnaires qu'ils doivent autoriser la visite de leurs installations par des délégués du pouvoir adjudicateur et/ou </w:t>
      </w:r>
      <w:proofErr w:type="spellStart"/>
      <w:r w:rsidRPr="00C57832">
        <w:rPr>
          <w:lang w:val="fr-BE"/>
        </w:rPr>
        <w:t>Fost</w:t>
      </w:r>
      <w:proofErr w:type="spellEnd"/>
      <w:r w:rsidRPr="00C57832">
        <w:rPr>
          <w:lang w:val="fr-BE"/>
        </w:rPr>
        <w:t xml:space="preserve"> Plus.</w:t>
      </w:r>
    </w:p>
    <w:p w14:paraId="3456C8D6" w14:textId="5D056CEA" w:rsidR="008D0025" w:rsidRPr="00C57832" w:rsidRDefault="008D0025" w:rsidP="00BB166A">
      <w:pPr>
        <w:pStyle w:val="Paragraphedeliste"/>
        <w:numPr>
          <w:ilvl w:val="1"/>
          <w:numId w:val="24"/>
        </w:numPr>
        <w:rPr>
          <w:lang w:val="fr-BE"/>
        </w:rPr>
      </w:pPr>
      <w:r w:rsidRPr="00C57832">
        <w:rPr>
          <w:lang w:val="fr-BE"/>
        </w:rPr>
        <w:t>Modification ou retrait d’une offre déjà soumise</w:t>
      </w:r>
    </w:p>
    <w:p w14:paraId="34303A08" w14:textId="297AB2C8" w:rsidR="008D0025" w:rsidRPr="00C57832" w:rsidRDefault="008D0025" w:rsidP="008D0025">
      <w:pPr>
        <w:rPr>
          <w:lang w:val="fr-BE"/>
        </w:rPr>
      </w:pPr>
      <w:r w:rsidRPr="00C57832">
        <w:rPr>
          <w:lang w:val="fr-BE"/>
        </w:rPr>
        <w:t>Toute modification ou retrait d'une offre déjà soumise doit respecter les conditions de l'art. 43 de l'arrêté royal du 18 avril 2017.</w:t>
      </w:r>
    </w:p>
    <w:p w14:paraId="397C7DAF" w14:textId="32A16CC5" w:rsidR="006B4934" w:rsidRPr="007904B8" w:rsidRDefault="006B4934" w:rsidP="00BB166A">
      <w:pPr>
        <w:pStyle w:val="Titre2"/>
        <w:numPr>
          <w:ilvl w:val="0"/>
          <w:numId w:val="24"/>
        </w:numPr>
        <w:rPr>
          <w:b/>
          <w:lang w:val="fr-BE" w:eastAsia="nl-NL"/>
        </w:rPr>
      </w:pPr>
      <w:bookmarkStart w:id="22" w:name="_Toc200945494"/>
      <w:bookmarkStart w:id="23" w:name="_Toc201025127"/>
      <w:bookmarkStart w:id="24" w:name="_Toc201587432"/>
      <w:bookmarkStart w:id="25" w:name="_Toc513197733"/>
      <w:r w:rsidRPr="007904B8">
        <w:rPr>
          <w:b/>
          <w:lang w:val="fr-BE" w:eastAsia="nl-NL"/>
        </w:rPr>
        <w:t xml:space="preserve">Législation et documents applicables au </w:t>
      </w:r>
      <w:bookmarkEnd w:id="22"/>
      <w:bookmarkEnd w:id="23"/>
      <w:bookmarkEnd w:id="24"/>
      <w:r w:rsidR="005E5746" w:rsidRPr="007904B8">
        <w:rPr>
          <w:b/>
          <w:lang w:val="fr-BE" w:eastAsia="nl-NL"/>
        </w:rPr>
        <w:t>Marché</w:t>
      </w:r>
      <w:bookmarkEnd w:id="25"/>
    </w:p>
    <w:p w14:paraId="397C7DB0" w14:textId="1287A412" w:rsidR="006B4934" w:rsidRPr="00C57832" w:rsidRDefault="006B4934" w:rsidP="00BB166A">
      <w:pPr>
        <w:pStyle w:val="Titre3"/>
        <w:numPr>
          <w:ilvl w:val="1"/>
          <w:numId w:val="24"/>
        </w:numPr>
        <w:spacing w:after="100" w:afterAutospacing="1"/>
        <w:rPr>
          <w:sz w:val="22"/>
          <w:lang w:val="fr-BE" w:eastAsia="nl-NL"/>
        </w:rPr>
      </w:pPr>
      <w:bookmarkStart w:id="26" w:name="_Toc200945495"/>
      <w:bookmarkStart w:id="27" w:name="_Toc201025128"/>
      <w:bookmarkStart w:id="28" w:name="_Toc201587433"/>
      <w:bookmarkStart w:id="29" w:name="_Toc513197734"/>
      <w:r w:rsidRPr="00C57832">
        <w:rPr>
          <w:sz w:val="22"/>
          <w:szCs w:val="22"/>
          <w:lang w:val="fr-BE" w:eastAsia="nl-NL"/>
        </w:rPr>
        <w:t>Législation</w:t>
      </w:r>
      <w:bookmarkEnd w:id="26"/>
      <w:bookmarkEnd w:id="27"/>
      <w:bookmarkEnd w:id="28"/>
      <w:r w:rsidR="00094E4F" w:rsidRPr="00C57832">
        <w:rPr>
          <w:rStyle w:val="Appelnotedebasdep"/>
          <w:rFonts w:eastAsia="Times New Roman"/>
          <w:sz w:val="22"/>
          <w:lang w:val="fr-BE" w:eastAsia="nl-NL"/>
        </w:rPr>
        <w:footnoteReference w:id="6"/>
      </w:r>
      <w:bookmarkEnd w:id="29"/>
    </w:p>
    <w:p w14:paraId="4825E64E" w14:textId="34A838AD" w:rsidR="00F37EC5" w:rsidRPr="00C57832" w:rsidRDefault="00F37EC5" w:rsidP="007904B8">
      <w:pPr>
        <w:pStyle w:val="Listepuces"/>
        <w:tabs>
          <w:tab w:val="num" w:pos="1042"/>
        </w:tabs>
        <w:ind w:left="142"/>
        <w:rPr>
          <w:lang w:val="fr-BE" w:eastAsia="nl-NL"/>
        </w:rPr>
      </w:pPr>
      <w:r w:rsidRPr="00C57832">
        <w:rPr>
          <w:lang w:val="fr-BE"/>
        </w:rPr>
        <w:t>La loi relative aux marchés publics</w:t>
      </w:r>
      <w:r w:rsidR="00375E54" w:rsidRPr="00C57832">
        <w:rPr>
          <w:lang w:val="fr-BE"/>
        </w:rPr>
        <w:t xml:space="preserve"> du 17 juin 2016</w:t>
      </w:r>
      <w:r w:rsidRPr="00C57832">
        <w:rPr>
          <w:lang w:val="fr-BE"/>
        </w:rPr>
        <w:t xml:space="preserve"> (« </w:t>
      </w:r>
      <w:r w:rsidRPr="00C57832">
        <w:rPr>
          <w:b/>
          <w:lang w:val="fr-BE"/>
        </w:rPr>
        <w:t xml:space="preserve">Loi du </w:t>
      </w:r>
      <w:r w:rsidR="00375E54" w:rsidRPr="00C57832">
        <w:rPr>
          <w:b/>
          <w:lang w:val="fr-BE"/>
        </w:rPr>
        <w:t>17</w:t>
      </w:r>
      <w:r w:rsidRPr="00C57832">
        <w:rPr>
          <w:b/>
          <w:lang w:val="fr-BE"/>
        </w:rPr>
        <w:t xml:space="preserve"> juin </w:t>
      </w:r>
      <w:r w:rsidR="00375E54" w:rsidRPr="00C57832">
        <w:rPr>
          <w:b/>
          <w:lang w:val="fr-BE"/>
        </w:rPr>
        <w:t>2016 </w:t>
      </w:r>
      <w:r w:rsidRPr="00C57832">
        <w:rPr>
          <w:lang w:val="fr-BE"/>
        </w:rPr>
        <w:t>»</w:t>
      </w:r>
      <w:proofErr w:type="gramStart"/>
      <w:r w:rsidRPr="00C57832">
        <w:rPr>
          <w:lang w:val="fr-BE"/>
        </w:rPr>
        <w:t>)</w:t>
      </w:r>
      <w:r w:rsidRPr="00C57832">
        <w:rPr>
          <w:lang w:val="fr-BE" w:eastAsia="nl-NL"/>
        </w:rPr>
        <w:t>;</w:t>
      </w:r>
      <w:proofErr w:type="gramEnd"/>
    </w:p>
    <w:p w14:paraId="710108AA" w14:textId="76F1A7CD" w:rsidR="00F37EC5" w:rsidRPr="00C57832" w:rsidRDefault="00F37EC5" w:rsidP="007904B8">
      <w:pPr>
        <w:pStyle w:val="Listepuces"/>
        <w:tabs>
          <w:tab w:val="num" w:pos="1042"/>
        </w:tabs>
        <w:ind w:left="142"/>
        <w:rPr>
          <w:lang w:val="fr-BE" w:eastAsia="nl-NL"/>
        </w:rPr>
      </w:pPr>
      <w:r w:rsidRPr="00C57832">
        <w:rPr>
          <w:lang w:val="fr-BE"/>
        </w:rPr>
        <w:t xml:space="preserve">L'arrêté royal du </w:t>
      </w:r>
      <w:r w:rsidR="00375E54" w:rsidRPr="00C57832">
        <w:rPr>
          <w:lang w:val="fr-BE"/>
        </w:rPr>
        <w:t>18 avril 2017</w:t>
      </w:r>
      <w:r w:rsidRPr="00C57832">
        <w:rPr>
          <w:lang w:val="fr-BE"/>
        </w:rPr>
        <w:t xml:space="preserve"> relatif à la passation des marchés publics dans les secteurs classiques (« </w:t>
      </w:r>
      <w:r w:rsidRPr="00C57832">
        <w:rPr>
          <w:b/>
          <w:lang w:val="fr-BE"/>
        </w:rPr>
        <w:t xml:space="preserve">AR </w:t>
      </w:r>
      <w:r w:rsidR="008850D9" w:rsidRPr="00C57832">
        <w:rPr>
          <w:b/>
          <w:lang w:val="fr-BE"/>
        </w:rPr>
        <w:t>Passation</w:t>
      </w:r>
      <w:r w:rsidRPr="00C57832">
        <w:rPr>
          <w:lang w:val="fr-BE"/>
        </w:rPr>
        <w:t> »</w:t>
      </w:r>
      <w:r w:rsidR="008D43F1" w:rsidRPr="00C57832">
        <w:rPr>
          <w:lang w:val="fr-BE"/>
        </w:rPr>
        <w:t>)</w:t>
      </w:r>
      <w:r w:rsidR="008D43F1" w:rsidRPr="00C57832">
        <w:rPr>
          <w:lang w:val="fr-BE" w:eastAsia="nl-NL"/>
        </w:rPr>
        <w:t xml:space="preserve"> ;</w:t>
      </w:r>
    </w:p>
    <w:p w14:paraId="4FB642CA" w14:textId="5D434CF6" w:rsidR="00F37EC5" w:rsidRPr="00C57832" w:rsidRDefault="00F37EC5" w:rsidP="007904B8">
      <w:pPr>
        <w:pStyle w:val="Listepuces"/>
        <w:tabs>
          <w:tab w:val="num" w:pos="1042"/>
        </w:tabs>
        <w:ind w:left="142"/>
        <w:rPr>
          <w:lang w:val="fr-BE" w:eastAsia="nl-NL"/>
        </w:rPr>
      </w:pPr>
      <w:r w:rsidRPr="00C57832">
        <w:rPr>
          <w:lang w:val="fr-BE"/>
        </w:rPr>
        <w:t>L'arrêté royal du 14 janvier 2013 établissant les règles générales d'exécution des marchés publics et des concessions de travaux publics (« </w:t>
      </w:r>
      <w:r w:rsidR="008850D9" w:rsidRPr="00C57832">
        <w:rPr>
          <w:b/>
          <w:lang w:val="fr-BE"/>
        </w:rPr>
        <w:t>AR Ex</w:t>
      </w:r>
      <w:r w:rsidR="00407643" w:rsidRPr="00C57832">
        <w:rPr>
          <w:b/>
          <w:lang w:val="fr-BE"/>
        </w:rPr>
        <w:t>é</w:t>
      </w:r>
      <w:r w:rsidR="008850D9" w:rsidRPr="00C57832">
        <w:rPr>
          <w:b/>
          <w:lang w:val="fr-BE"/>
        </w:rPr>
        <w:t>cution</w:t>
      </w:r>
      <w:r w:rsidR="008850D9" w:rsidRPr="00C57832">
        <w:rPr>
          <w:lang w:val="fr-BE"/>
        </w:rPr>
        <w:t xml:space="preserve"> </w:t>
      </w:r>
      <w:r w:rsidRPr="00C57832">
        <w:rPr>
          <w:lang w:val="fr-BE"/>
        </w:rPr>
        <w:t>»</w:t>
      </w:r>
      <w:proofErr w:type="gramStart"/>
      <w:r w:rsidRPr="00C57832">
        <w:rPr>
          <w:lang w:val="fr-BE"/>
        </w:rPr>
        <w:t>)</w:t>
      </w:r>
      <w:r w:rsidRPr="00C57832">
        <w:rPr>
          <w:lang w:val="fr-BE" w:eastAsia="nl-NL"/>
        </w:rPr>
        <w:t>;</w:t>
      </w:r>
      <w:proofErr w:type="gramEnd"/>
    </w:p>
    <w:p w14:paraId="397C7DB3" w14:textId="529F6438" w:rsidR="006B4934" w:rsidRPr="00C57832" w:rsidRDefault="00F37EC5" w:rsidP="007904B8">
      <w:pPr>
        <w:pStyle w:val="Listepuces"/>
        <w:tabs>
          <w:tab w:val="num" w:pos="1042"/>
        </w:tabs>
        <w:ind w:left="142"/>
        <w:rPr>
          <w:lang w:val="fr-BE"/>
        </w:rPr>
      </w:pPr>
      <w:r w:rsidRPr="00C57832">
        <w:rPr>
          <w:lang w:val="fr-BE"/>
        </w:rPr>
        <w:t>Loi du 17 juin 2013 relative à la motivation, à l’information et aux voies de recours en matière de marchés publics et de certains marchés de travaux, de fournitures et de services (“</w:t>
      </w:r>
      <w:r w:rsidRPr="00C57832">
        <w:rPr>
          <w:b/>
          <w:lang w:val="fr-BE"/>
        </w:rPr>
        <w:t>Loi du 17 juin 2013</w:t>
      </w:r>
      <w:r w:rsidRPr="00C57832">
        <w:rPr>
          <w:lang w:val="fr-BE"/>
        </w:rPr>
        <w:t>”</w:t>
      </w:r>
      <w:r w:rsidR="008D43F1" w:rsidRPr="00C57832">
        <w:rPr>
          <w:lang w:val="fr-BE"/>
        </w:rPr>
        <w:t>) ;</w:t>
      </w:r>
    </w:p>
    <w:p w14:paraId="397C7DB4" w14:textId="2BC17399" w:rsidR="006B4934" w:rsidRPr="00C57832" w:rsidRDefault="006B4934" w:rsidP="007904B8">
      <w:pPr>
        <w:pStyle w:val="Listepuces"/>
        <w:tabs>
          <w:tab w:val="num" w:pos="1042"/>
        </w:tabs>
        <w:ind w:left="142"/>
        <w:rPr>
          <w:rFonts w:eastAsia="Times New Roman"/>
          <w:lang w:val="fr-BE" w:eastAsia="nl-NL"/>
        </w:rPr>
      </w:pPr>
      <w:r w:rsidRPr="00C57832">
        <w:rPr>
          <w:rFonts w:eastAsia="Times New Roman"/>
          <w:lang w:val="fr-BE" w:eastAsia="nl-NL"/>
        </w:rPr>
        <w:t>Toutes les modifications aux lois et arrêtés précités d'application à ce jour sur l'ouverture des offres</w:t>
      </w:r>
      <w:r w:rsidR="00105146" w:rsidRPr="00C57832">
        <w:rPr>
          <w:rFonts w:eastAsia="Times New Roman"/>
          <w:lang w:val="fr-BE" w:eastAsia="nl-NL"/>
        </w:rPr>
        <w:t> ;</w:t>
      </w:r>
    </w:p>
    <w:p w14:paraId="397C7DB5" w14:textId="7D47A1F3" w:rsidR="006B4934" w:rsidRPr="00C57832" w:rsidRDefault="006B4934" w:rsidP="007904B8">
      <w:pPr>
        <w:pStyle w:val="Listepuces"/>
        <w:tabs>
          <w:tab w:val="num" w:pos="1042"/>
        </w:tabs>
        <w:ind w:left="142"/>
        <w:rPr>
          <w:rFonts w:eastAsia="Times New Roman"/>
          <w:lang w:val="fr-BE" w:eastAsia="nl-NL"/>
        </w:rPr>
      </w:pPr>
      <w:r w:rsidRPr="00C57832">
        <w:rPr>
          <w:rFonts w:eastAsia="Times New Roman"/>
          <w:lang w:val="fr-BE" w:eastAsia="nl-NL"/>
        </w:rPr>
        <w:t>Les avis de marché et avis rectificatifs annoncés ou publiés au Bulletin des Adjudications ou au Journal officiel de</w:t>
      </w:r>
      <w:r w:rsidR="00105146" w:rsidRPr="00C57832">
        <w:rPr>
          <w:rFonts w:eastAsia="Times New Roman"/>
          <w:lang w:val="fr-BE" w:eastAsia="nl-NL"/>
        </w:rPr>
        <w:t xml:space="preserve"> l’Union européenne</w:t>
      </w:r>
      <w:r w:rsidRPr="00C57832">
        <w:rPr>
          <w:rFonts w:eastAsia="Times New Roman"/>
          <w:lang w:val="fr-BE" w:eastAsia="nl-NL"/>
        </w:rPr>
        <w:t xml:space="preserve"> ayant trait de manière générale aux services</w:t>
      </w:r>
      <w:r w:rsidR="0057369C" w:rsidRPr="00C57832">
        <w:rPr>
          <w:rFonts w:eastAsia="Times New Roman"/>
          <w:lang w:val="fr-BE" w:eastAsia="nl-NL"/>
        </w:rPr>
        <w:t>,</w:t>
      </w:r>
      <w:r w:rsidRPr="00C57832">
        <w:rPr>
          <w:rFonts w:eastAsia="Times New Roman"/>
          <w:lang w:val="fr-BE" w:eastAsia="nl-NL"/>
        </w:rPr>
        <w:t xml:space="preserve"> ainsi que les </w:t>
      </w:r>
      <w:r w:rsidRPr="00C57832">
        <w:rPr>
          <w:rFonts w:eastAsia="Times New Roman"/>
          <w:lang w:val="fr-BE" w:eastAsia="nl-NL"/>
        </w:rPr>
        <w:lastRenderedPageBreak/>
        <w:t>avis de marché et avis rectificatifs concernant le présent service font partie intégrante du présent cahier des charges. Le soumissionnaire est censé en avoir pris connaissance et en avoir tenu compte dans l'élaboration de son offre</w:t>
      </w:r>
      <w:r w:rsidR="00105146" w:rsidRPr="00C57832">
        <w:rPr>
          <w:rFonts w:eastAsia="Times New Roman"/>
          <w:lang w:val="fr-BE" w:eastAsia="nl-NL"/>
        </w:rPr>
        <w:t> ;</w:t>
      </w:r>
    </w:p>
    <w:p w14:paraId="397C7DB6" w14:textId="77777777" w:rsidR="005E7422" w:rsidRPr="00C57832" w:rsidRDefault="005E7422" w:rsidP="007904B8">
      <w:pPr>
        <w:pStyle w:val="Listepuces"/>
        <w:tabs>
          <w:tab w:val="num" w:pos="1042"/>
        </w:tabs>
        <w:ind w:left="142"/>
        <w:rPr>
          <w:lang w:val="fr-BE"/>
        </w:rPr>
      </w:pPr>
      <w:r w:rsidRPr="00C57832">
        <w:rPr>
          <w:szCs w:val="18"/>
          <w:lang w:val="fr-BE"/>
        </w:rPr>
        <w:t>Loi du 4 août 1996 relative au bien-être des travailleurs lors de l'exécution de leur travail.</w:t>
      </w:r>
    </w:p>
    <w:p w14:paraId="397C7DB7" w14:textId="401CED8D" w:rsidR="005E7422" w:rsidRPr="00C57832" w:rsidRDefault="005E7422" w:rsidP="007904B8">
      <w:pPr>
        <w:pStyle w:val="Listepuces"/>
        <w:tabs>
          <w:tab w:val="num" w:pos="1042"/>
        </w:tabs>
        <w:ind w:left="142"/>
        <w:rPr>
          <w:lang w:val="fr-BE"/>
        </w:rPr>
      </w:pPr>
      <w:r w:rsidRPr="00C57832">
        <w:rPr>
          <w:szCs w:val="18"/>
          <w:lang w:val="fr-BE"/>
        </w:rPr>
        <w:t>Règlement général pour la protection du travail</w:t>
      </w:r>
      <w:r w:rsidR="00105146" w:rsidRPr="00C57832">
        <w:rPr>
          <w:szCs w:val="18"/>
          <w:lang w:val="fr-BE"/>
        </w:rPr>
        <w:t> ;</w:t>
      </w:r>
    </w:p>
    <w:p w14:paraId="397C7DB8" w14:textId="30D200E2" w:rsidR="005E7422" w:rsidRPr="00C57832" w:rsidRDefault="005E7422" w:rsidP="007904B8">
      <w:pPr>
        <w:pStyle w:val="Listepuces"/>
        <w:tabs>
          <w:tab w:val="num" w:pos="1042"/>
        </w:tabs>
        <w:ind w:left="142"/>
        <w:rPr>
          <w:lang w:val="fr-BE"/>
        </w:rPr>
      </w:pPr>
      <w:r w:rsidRPr="00C57832">
        <w:rPr>
          <w:szCs w:val="18"/>
          <w:lang w:val="fr-BE"/>
        </w:rPr>
        <w:t>Code sur le bien-être au travail</w:t>
      </w:r>
      <w:r w:rsidR="00105146" w:rsidRPr="00C57832">
        <w:rPr>
          <w:szCs w:val="18"/>
          <w:lang w:val="fr-BE"/>
        </w:rPr>
        <w:t> ;</w:t>
      </w:r>
    </w:p>
    <w:p w14:paraId="397C7DB9" w14:textId="03789C99" w:rsidR="005E7422" w:rsidRPr="00C57832" w:rsidRDefault="005E7422" w:rsidP="007904B8">
      <w:pPr>
        <w:pStyle w:val="Listepuces"/>
        <w:tabs>
          <w:tab w:val="num" w:pos="1042"/>
        </w:tabs>
        <w:ind w:left="142"/>
        <w:rPr>
          <w:lang w:val="fr-BE"/>
        </w:rPr>
      </w:pPr>
      <w:r w:rsidRPr="00C57832">
        <w:rPr>
          <w:szCs w:val="18"/>
          <w:lang w:val="fr-BE"/>
        </w:rPr>
        <w:t>Arrêté royal du 12 août 2008 concernant la mise sur le marché des machines</w:t>
      </w:r>
      <w:r w:rsidR="00105146" w:rsidRPr="00C57832">
        <w:rPr>
          <w:szCs w:val="18"/>
          <w:lang w:val="fr-BE"/>
        </w:rPr>
        <w:t> ;</w:t>
      </w:r>
    </w:p>
    <w:p w14:paraId="397C7DBB" w14:textId="23315FC5" w:rsidR="005E7422" w:rsidRPr="00C57832" w:rsidRDefault="005E7422" w:rsidP="007904B8">
      <w:pPr>
        <w:pStyle w:val="Listepuces"/>
        <w:tabs>
          <w:tab w:val="num" w:pos="1042"/>
        </w:tabs>
        <w:ind w:left="142"/>
        <w:rPr>
          <w:lang w:val="fr-BE"/>
        </w:rPr>
      </w:pPr>
      <w:r w:rsidRPr="00C57832">
        <w:rPr>
          <w:szCs w:val="18"/>
          <w:lang w:val="fr-BE"/>
        </w:rPr>
        <w:t>Arrêté royal du 15 mars 1968 portant règlement général sur les conditions techniques auxquelles doivent répondre les véhicules automobiles, leurs remorques, leurs éléments ainsi que les accessoires de sécurité</w:t>
      </w:r>
      <w:r w:rsidR="00105146" w:rsidRPr="00C57832">
        <w:rPr>
          <w:szCs w:val="18"/>
          <w:lang w:val="fr-BE"/>
        </w:rPr>
        <w:t> ;</w:t>
      </w:r>
    </w:p>
    <w:p w14:paraId="397C7DBC" w14:textId="6FC1163D" w:rsidR="005E7422" w:rsidRPr="00C57832" w:rsidRDefault="005E7422" w:rsidP="007904B8">
      <w:pPr>
        <w:pStyle w:val="Listepuces"/>
        <w:tabs>
          <w:tab w:val="num" w:pos="1042"/>
        </w:tabs>
        <w:ind w:left="142"/>
        <w:rPr>
          <w:lang w:val="fr-BE"/>
        </w:rPr>
      </w:pPr>
      <w:r w:rsidRPr="00C57832">
        <w:rPr>
          <w:bCs/>
          <w:szCs w:val="18"/>
          <w:lang w:val="fr-BE"/>
        </w:rPr>
        <w:t>Arrêté royal du 1 décembre 1975 portant règlement général sur la police de la circulation routière et de l'usage de la voie publique</w:t>
      </w:r>
      <w:r w:rsidR="00105146" w:rsidRPr="00C57832">
        <w:rPr>
          <w:bCs/>
          <w:szCs w:val="18"/>
          <w:lang w:val="fr-BE"/>
        </w:rPr>
        <w:t> ;</w:t>
      </w:r>
    </w:p>
    <w:p w14:paraId="397C7DBF" w14:textId="7C9FBB91" w:rsidR="006B4934" w:rsidRPr="00C57832" w:rsidRDefault="006B4934" w:rsidP="00BB166A">
      <w:pPr>
        <w:pStyle w:val="Titre3"/>
        <w:numPr>
          <w:ilvl w:val="1"/>
          <w:numId w:val="24"/>
        </w:numPr>
        <w:spacing w:after="100" w:afterAutospacing="1"/>
        <w:rPr>
          <w:sz w:val="22"/>
          <w:szCs w:val="22"/>
          <w:lang w:val="fr-BE" w:eastAsia="nl-NL"/>
        </w:rPr>
      </w:pPr>
      <w:bookmarkStart w:id="30" w:name="_Toc200945496"/>
      <w:bookmarkStart w:id="31" w:name="_Toc201025129"/>
      <w:bookmarkStart w:id="32" w:name="_Toc201587434"/>
      <w:bookmarkStart w:id="33" w:name="_Toc513197735"/>
      <w:r w:rsidRPr="00C57832">
        <w:rPr>
          <w:sz w:val="22"/>
          <w:szCs w:val="22"/>
          <w:lang w:val="fr-BE" w:eastAsia="nl-NL"/>
        </w:rPr>
        <w:t xml:space="preserve">Documents applicables au </w:t>
      </w:r>
      <w:bookmarkEnd w:id="30"/>
      <w:bookmarkEnd w:id="31"/>
      <w:bookmarkEnd w:id="32"/>
      <w:r w:rsidR="005E5746" w:rsidRPr="00C57832">
        <w:rPr>
          <w:sz w:val="22"/>
          <w:szCs w:val="22"/>
          <w:lang w:val="fr-BE" w:eastAsia="nl-NL"/>
        </w:rPr>
        <w:t>Marché</w:t>
      </w:r>
      <w:bookmarkEnd w:id="33"/>
    </w:p>
    <w:p w14:paraId="397C7DC0" w14:textId="77777777" w:rsidR="006B4934" w:rsidRPr="00C57832" w:rsidRDefault="006B4934" w:rsidP="007904B8">
      <w:pPr>
        <w:pStyle w:val="Listepuces"/>
        <w:tabs>
          <w:tab w:val="num" w:pos="1042"/>
        </w:tabs>
        <w:ind w:left="142"/>
        <w:rPr>
          <w:rFonts w:eastAsia="Times New Roman"/>
          <w:lang w:val="fr-BE" w:eastAsia="nl-NL"/>
        </w:rPr>
      </w:pPr>
      <w:r w:rsidRPr="00C57832">
        <w:rPr>
          <w:rFonts w:eastAsia="Times New Roman"/>
          <w:lang w:val="fr-BE" w:eastAsia="nl-NL"/>
        </w:rPr>
        <w:t xml:space="preserve">Le présent cahier des charges n°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le numéro du cahier des charges&gt;</w:t>
      </w:r>
      <w:r w:rsidR="00306B75" w:rsidRPr="00C57832">
        <w:rPr>
          <w:szCs w:val="18"/>
          <w:lang w:val="fr-BE"/>
        </w:rPr>
        <w:fldChar w:fldCharType="end"/>
      </w:r>
      <w:r w:rsidRPr="00C57832">
        <w:rPr>
          <w:rFonts w:eastAsia="Times New Roman"/>
          <w:lang w:val="fr-BE" w:eastAsia="nl-NL"/>
        </w:rPr>
        <w:t xml:space="preserve">, y compris </w:t>
      </w:r>
      <w:r w:rsidR="00BA7EC6" w:rsidRPr="00C57832">
        <w:rPr>
          <w:rFonts w:eastAsia="Times New Roman"/>
          <w:lang w:val="fr-BE" w:eastAsia="nl-NL"/>
        </w:rPr>
        <w:t>s</w:t>
      </w:r>
      <w:r w:rsidRPr="00C57832">
        <w:rPr>
          <w:rFonts w:eastAsia="Times New Roman"/>
          <w:lang w:val="fr-BE" w:eastAsia="nl-NL"/>
        </w:rPr>
        <w:t>es annexes.</w:t>
      </w:r>
    </w:p>
    <w:p w14:paraId="1A1CCEB2" w14:textId="77777777" w:rsidR="008D0025" w:rsidRPr="00C57832" w:rsidRDefault="006B4934" w:rsidP="007904B8">
      <w:pPr>
        <w:pStyle w:val="Listepuces"/>
        <w:tabs>
          <w:tab w:val="num" w:pos="1042"/>
        </w:tabs>
        <w:ind w:left="142"/>
        <w:rPr>
          <w:rFonts w:eastAsia="Times New Roman"/>
          <w:lang w:val="fr-BE" w:eastAsia="nl-NL"/>
        </w:rPr>
      </w:pPr>
      <w:r w:rsidRPr="00C57832">
        <w:rPr>
          <w:rFonts w:eastAsia="Times New Roman"/>
          <w:lang w:val="fr-BE" w:eastAsia="nl-NL"/>
        </w:rPr>
        <w:t>Le formulaire de soumission et l'inventaire de l'offre retenue</w:t>
      </w:r>
    </w:p>
    <w:p w14:paraId="397C7DC1" w14:textId="5C96EF90" w:rsidR="006B4934" w:rsidRPr="00C57832" w:rsidRDefault="008D0025" w:rsidP="007904B8">
      <w:pPr>
        <w:pStyle w:val="Listepuces"/>
        <w:tabs>
          <w:tab w:val="num" w:pos="1042"/>
        </w:tabs>
        <w:ind w:left="142"/>
        <w:rPr>
          <w:rFonts w:eastAsia="Times New Roman"/>
          <w:lang w:val="fr-BE" w:eastAsia="nl-NL"/>
        </w:rPr>
      </w:pPr>
      <w:r w:rsidRPr="00C57832">
        <w:rPr>
          <w:rFonts w:eastAsia="Times New Roman"/>
          <w:lang w:val="fr-BE" w:eastAsia="nl-NL"/>
        </w:rPr>
        <w:t>Ainsi que le DUME</w:t>
      </w:r>
      <w:r w:rsidR="006B4934" w:rsidRPr="00C57832">
        <w:rPr>
          <w:rFonts w:eastAsia="Times New Roman"/>
          <w:lang w:val="fr-BE" w:eastAsia="nl-NL"/>
        </w:rPr>
        <w:t>.</w:t>
      </w:r>
    </w:p>
    <w:p w14:paraId="66613F17" w14:textId="6107995E" w:rsidR="008D0025" w:rsidRPr="00C57832" w:rsidRDefault="008D0025" w:rsidP="00BB166A">
      <w:pPr>
        <w:pStyle w:val="Titre2"/>
        <w:numPr>
          <w:ilvl w:val="1"/>
          <w:numId w:val="24"/>
        </w:numPr>
        <w:spacing w:after="100" w:afterAutospacing="1"/>
        <w:ind w:left="578" w:hanging="578"/>
        <w:rPr>
          <w:iCs w:val="0"/>
          <w:sz w:val="22"/>
          <w:szCs w:val="22"/>
          <w:lang w:val="fr-BE" w:eastAsia="nl-NL"/>
        </w:rPr>
      </w:pPr>
      <w:bookmarkStart w:id="34" w:name="_Toc200945497"/>
      <w:bookmarkStart w:id="35" w:name="_Toc201025130"/>
      <w:bookmarkStart w:id="36" w:name="_Toc201587435"/>
      <w:bookmarkStart w:id="37" w:name="_Toc513197736"/>
      <w:r w:rsidRPr="00C57832">
        <w:rPr>
          <w:iCs w:val="0"/>
          <w:sz w:val="22"/>
          <w:szCs w:val="22"/>
          <w:lang w:val="fr-BE" w:eastAsia="nl-NL"/>
        </w:rPr>
        <w:t>Avis de marché et rectificatifs</w:t>
      </w:r>
    </w:p>
    <w:p w14:paraId="7B939ED6" w14:textId="3A12F0D7" w:rsidR="008D0025" w:rsidRPr="00C57832" w:rsidRDefault="008D0025" w:rsidP="00E00E32">
      <w:pPr>
        <w:rPr>
          <w:lang w:val="fr-BE" w:eastAsia="nl-NL"/>
        </w:rPr>
      </w:pPr>
      <w:r w:rsidRPr="00C57832">
        <w:rPr>
          <w:lang w:val="fr-BE" w:eastAsia="nl-NL"/>
        </w:rPr>
        <w:t>Les avis de marché et rectificatifs annoncés ou publiés au Bulletin des Adjudications ou au Journal Officiel de l’Union européenne qui ont trait aux marchés en général, ainsi que les avis de marché et rectificatifs relatifs à ce marché, font partie intégrante du présent cahier spécial des charges. Le soumissionnaire est censé en avoir pris connaissance et en avoir tenu compte lors de l’établissement de son offre.</w:t>
      </w:r>
    </w:p>
    <w:p w14:paraId="397C7DC2" w14:textId="13CD03FE" w:rsidR="006B4934" w:rsidRPr="007904B8" w:rsidRDefault="008D0025" w:rsidP="00BB166A">
      <w:pPr>
        <w:pStyle w:val="Titre2"/>
        <w:numPr>
          <w:ilvl w:val="0"/>
          <w:numId w:val="24"/>
        </w:numPr>
        <w:rPr>
          <w:b/>
          <w:lang w:val="fr-BE" w:eastAsia="nl-NL"/>
        </w:rPr>
      </w:pPr>
      <w:r w:rsidRPr="007904B8">
        <w:rPr>
          <w:b/>
          <w:lang w:val="fr-BE" w:eastAsia="nl-NL"/>
        </w:rPr>
        <w:t xml:space="preserve"> Forme et contenu de l’offre (articles 53, 58 et 77 de l’AR Passation)</w:t>
      </w:r>
      <w:bookmarkEnd w:id="34"/>
      <w:bookmarkEnd w:id="35"/>
      <w:bookmarkEnd w:id="36"/>
      <w:bookmarkEnd w:id="37"/>
    </w:p>
    <w:p w14:paraId="50F1EB01" w14:textId="478E65F5" w:rsidR="000F1B3B" w:rsidRPr="00C57832" w:rsidRDefault="006B4934" w:rsidP="00BB166A">
      <w:pPr>
        <w:pStyle w:val="Titre3"/>
        <w:numPr>
          <w:ilvl w:val="1"/>
          <w:numId w:val="24"/>
        </w:numPr>
        <w:spacing w:after="100" w:afterAutospacing="1"/>
        <w:rPr>
          <w:sz w:val="22"/>
          <w:lang w:val="fr-BE" w:eastAsia="nl-NL"/>
        </w:rPr>
      </w:pPr>
      <w:bookmarkStart w:id="38" w:name="_Toc200945498"/>
      <w:bookmarkStart w:id="39" w:name="_Toc201025131"/>
      <w:bookmarkStart w:id="40" w:name="_Toc201587436"/>
      <w:bookmarkStart w:id="41" w:name="_Toc513197737"/>
      <w:r w:rsidRPr="00C57832">
        <w:rPr>
          <w:sz w:val="22"/>
          <w:lang w:val="fr-BE" w:eastAsia="nl-NL"/>
        </w:rPr>
        <w:t>Données à mentionner dans l’offre</w:t>
      </w:r>
      <w:bookmarkEnd w:id="38"/>
      <w:bookmarkEnd w:id="39"/>
      <w:bookmarkEnd w:id="40"/>
      <w:bookmarkEnd w:id="41"/>
    </w:p>
    <w:p w14:paraId="7BE16479" w14:textId="07CC1AC9" w:rsidR="007D4EE9" w:rsidRPr="00C57832" w:rsidRDefault="007D4EE9" w:rsidP="007D4EE9">
      <w:pPr>
        <w:rPr>
          <w:lang w:val="fr-BE"/>
        </w:rPr>
      </w:pPr>
      <w:r w:rsidRPr="00C57832">
        <w:rPr>
          <w:lang w:val="fr-BE"/>
        </w:rPr>
        <w:t xml:space="preserve">L’attention des soumissionnaires est attirée sur les principes généraux édictés aux </w:t>
      </w:r>
      <w:r w:rsidR="009255F0" w:rsidRPr="00C57832">
        <w:rPr>
          <w:lang w:val="fr-BE"/>
        </w:rPr>
        <w:t>articles 4</w:t>
      </w:r>
      <w:r w:rsidRPr="00C57832">
        <w:rPr>
          <w:lang w:val="fr-BE"/>
        </w:rPr>
        <w:t xml:space="preserve">, 5, 6, 7 et 11 de la loi du 17 juin 2016 et qui sont applicables à la présente procédure de passation. </w:t>
      </w:r>
    </w:p>
    <w:p w14:paraId="10D87A6F" w14:textId="77777777" w:rsidR="007D4EE9" w:rsidRPr="00C57832" w:rsidRDefault="007D4EE9" w:rsidP="007D4EE9">
      <w:pPr>
        <w:rPr>
          <w:lang w:val="fr-BE"/>
        </w:rPr>
      </w:pPr>
      <w:r w:rsidRPr="00C57832">
        <w:rPr>
          <w:lang w:val="fr-BE"/>
        </w:rPr>
        <w:t>Il est fortement recommandé au soumissionnaire d’utiliser le formulaire d’offre joint en annexe. A défaut d’utiliser ce formulaire, il supporte l’entière responsabilité de la parfaite concordance entre les documents qu’il a utilisés et le formulaire.”</w:t>
      </w:r>
    </w:p>
    <w:p w14:paraId="711CE620" w14:textId="77777777" w:rsidR="007D4EE9" w:rsidRPr="00C57832" w:rsidRDefault="007D4EE9" w:rsidP="007D4EE9">
      <w:pPr>
        <w:rPr>
          <w:lang w:val="fr-BE"/>
        </w:rPr>
      </w:pPr>
      <w:r w:rsidRPr="00C57832">
        <w:rPr>
          <w:lang w:val="fr-BE"/>
        </w:rPr>
        <w:t>L’offre et les annexes jointes au formulaire d’offre sont rédigées en français ou en néerlandais.</w:t>
      </w:r>
    </w:p>
    <w:p w14:paraId="397C7DC6" w14:textId="28CA39EC" w:rsidR="006B4934" w:rsidRPr="00C57832" w:rsidRDefault="006B4934" w:rsidP="007D4EE9">
      <w:pPr>
        <w:rPr>
          <w:lang w:val="fr-BE"/>
        </w:rPr>
      </w:pPr>
      <w:r w:rsidRPr="00C57832">
        <w:rPr>
          <w:lang w:val="fr-BE"/>
        </w:rPr>
        <w:t>Par le dépôt de son offre, le soumissionnaire renonce automatiquement à ses conditions générales ou particulières de vente, même si celles-ci sont mentionnées sur l’une ou l’autre annexe de son offre.</w:t>
      </w:r>
    </w:p>
    <w:p w14:paraId="397C7DC7" w14:textId="77777777" w:rsidR="006B4934" w:rsidRPr="00364443" w:rsidRDefault="006B4934">
      <w:pPr>
        <w:rPr>
          <w:lang w:val="fr-BE"/>
        </w:rPr>
      </w:pPr>
      <w:r w:rsidRPr="00364443">
        <w:rPr>
          <w:lang w:val="fr-BE"/>
        </w:rPr>
        <w:t>Le soumissionnaire indique clairement, dans son offre, les informations confidentielles et/ou celles qui sont tenues par un secret technique ou commercial et qui ne peuvent donc pas être communiquées par le pouvoir adjudicateur.</w:t>
      </w:r>
    </w:p>
    <w:p w14:paraId="397C7DC8" w14:textId="0209D750" w:rsidR="006B4934" w:rsidRPr="00364443" w:rsidRDefault="006B4934">
      <w:pPr>
        <w:rPr>
          <w:lang w:val="fr-BE"/>
        </w:rPr>
      </w:pPr>
      <w:r w:rsidRPr="00364443">
        <w:rPr>
          <w:lang w:val="fr-BE"/>
        </w:rPr>
        <w:t>Le soumissionnaire doit mentionner clairement sur son formulaire de soumission pour quel lot il soumissionne</w:t>
      </w:r>
      <w:r w:rsidR="00073851" w:rsidRPr="00364443">
        <w:rPr>
          <w:strike/>
          <w:lang w:val="fr-BE"/>
        </w:rPr>
        <w:t>,</w:t>
      </w:r>
      <w:r w:rsidR="00073851" w:rsidRPr="00364443">
        <w:rPr>
          <w:lang w:val="fr-BE"/>
        </w:rPr>
        <w:t xml:space="preserve"> </w:t>
      </w:r>
      <w:r w:rsidR="00A62FDA" w:rsidRPr="00364443">
        <w:rPr>
          <w:lang w:val="fr-BE"/>
        </w:rPr>
        <w:t xml:space="preserve">et </w:t>
      </w:r>
      <w:r w:rsidR="00073851" w:rsidRPr="00364443">
        <w:rPr>
          <w:lang w:val="fr-BE"/>
        </w:rPr>
        <w:t>s’il propose des</w:t>
      </w:r>
      <w:r w:rsidRPr="00364443">
        <w:rPr>
          <w:lang w:val="fr-BE"/>
        </w:rPr>
        <w:t xml:space="preserve"> </w:t>
      </w:r>
      <w:r w:rsidR="00073851" w:rsidRPr="00364443">
        <w:rPr>
          <w:lang w:val="fr-BE"/>
        </w:rPr>
        <w:t>rabais sur les prix en cas de réunion de plusieurs lots</w:t>
      </w:r>
      <w:r w:rsidRPr="00364443">
        <w:rPr>
          <w:lang w:val="fr-BE"/>
        </w:rPr>
        <w:t>.</w:t>
      </w:r>
    </w:p>
    <w:p w14:paraId="6E21EE6E" w14:textId="77777777" w:rsidR="007D4EE9" w:rsidRPr="00C57832" w:rsidRDefault="007D4EE9" w:rsidP="007D4EE9">
      <w:pPr>
        <w:rPr>
          <w:lang w:val="fr-BE"/>
        </w:rPr>
      </w:pPr>
      <w:r w:rsidRPr="00364443">
        <w:rPr>
          <w:lang w:val="fr-BE"/>
        </w:rPr>
        <w:t xml:space="preserve">Les renseignements suivants seront mentionnés dans </w:t>
      </w:r>
      <w:proofErr w:type="gramStart"/>
      <w:r w:rsidRPr="00364443">
        <w:rPr>
          <w:lang w:val="fr-BE"/>
        </w:rPr>
        <w:t>l’offre:</w:t>
      </w:r>
      <w:proofErr w:type="gramEnd"/>
    </w:p>
    <w:p w14:paraId="26C4DDC9" w14:textId="2E52BD55" w:rsidR="007D4EE9" w:rsidRPr="00C57832" w:rsidRDefault="007D4EE9" w:rsidP="007D4EE9">
      <w:pPr>
        <w:rPr>
          <w:lang w:val="fr-BE"/>
        </w:rPr>
      </w:pPr>
      <w:r w:rsidRPr="00C57832">
        <w:rPr>
          <w:lang w:val="fr-BE"/>
        </w:rPr>
        <w:t>-</w:t>
      </w:r>
      <w:r w:rsidRPr="00C57832">
        <w:rPr>
          <w:lang w:val="fr-BE"/>
        </w:rPr>
        <w:tab/>
        <w:t xml:space="preserve">le prix unitaire forfaitaire /les prix unitaires </w:t>
      </w:r>
      <w:r w:rsidR="00992040" w:rsidRPr="00C57832">
        <w:rPr>
          <w:lang w:val="fr-BE"/>
        </w:rPr>
        <w:t>forfaitaires en</w:t>
      </w:r>
      <w:r w:rsidRPr="00C57832">
        <w:rPr>
          <w:lang w:val="fr-BE"/>
        </w:rPr>
        <w:t xml:space="preserve"> lettres et en chiffres (hors TVA</w:t>
      </w:r>
      <w:proofErr w:type="gramStart"/>
      <w:r w:rsidRPr="00C57832">
        <w:rPr>
          <w:lang w:val="fr-BE"/>
        </w:rPr>
        <w:t>);</w:t>
      </w:r>
      <w:proofErr w:type="gramEnd"/>
    </w:p>
    <w:p w14:paraId="697D2A2E" w14:textId="3673D050" w:rsidR="007D4EE9" w:rsidRPr="00C57832" w:rsidRDefault="007D4EE9" w:rsidP="007D4EE9">
      <w:pPr>
        <w:rPr>
          <w:lang w:val="fr-BE"/>
        </w:rPr>
      </w:pPr>
      <w:r w:rsidRPr="00C57832">
        <w:rPr>
          <w:lang w:val="fr-BE"/>
        </w:rPr>
        <w:lastRenderedPageBreak/>
        <w:t>-</w:t>
      </w:r>
      <w:r w:rsidRPr="00C57832">
        <w:rPr>
          <w:lang w:val="fr-BE"/>
        </w:rPr>
        <w:tab/>
        <w:t xml:space="preserve">le prix global /les prix </w:t>
      </w:r>
      <w:r w:rsidR="00992040" w:rsidRPr="00C57832">
        <w:rPr>
          <w:lang w:val="fr-BE"/>
        </w:rPr>
        <w:t>globaux en</w:t>
      </w:r>
      <w:r w:rsidRPr="00C57832">
        <w:rPr>
          <w:lang w:val="fr-BE"/>
        </w:rPr>
        <w:t xml:space="preserve"> lettres et en chiffres (hors TVA</w:t>
      </w:r>
      <w:proofErr w:type="gramStart"/>
      <w:r w:rsidRPr="00C57832">
        <w:rPr>
          <w:lang w:val="fr-BE"/>
        </w:rPr>
        <w:t>);</w:t>
      </w:r>
      <w:proofErr w:type="gramEnd"/>
    </w:p>
    <w:p w14:paraId="01C80F77" w14:textId="1066EC69" w:rsidR="007D4EE9" w:rsidRPr="00C57832" w:rsidRDefault="007D4EE9" w:rsidP="007D4EE9">
      <w:pPr>
        <w:rPr>
          <w:lang w:val="fr-BE"/>
        </w:rPr>
      </w:pPr>
      <w:r w:rsidRPr="00C57832">
        <w:rPr>
          <w:lang w:val="fr-BE"/>
        </w:rPr>
        <w:t>-</w:t>
      </w:r>
      <w:r w:rsidRPr="00C57832">
        <w:rPr>
          <w:lang w:val="fr-BE"/>
        </w:rPr>
        <w:tab/>
        <w:t xml:space="preserve">le montant total de </w:t>
      </w:r>
      <w:r w:rsidR="00992040" w:rsidRPr="00C57832">
        <w:rPr>
          <w:lang w:val="fr-BE"/>
        </w:rPr>
        <w:t>l’offre en</w:t>
      </w:r>
      <w:r w:rsidRPr="00C57832">
        <w:rPr>
          <w:lang w:val="fr-BE"/>
        </w:rPr>
        <w:t xml:space="preserve"> lettres et en chiffres (hors TVA</w:t>
      </w:r>
      <w:proofErr w:type="gramStart"/>
      <w:r w:rsidRPr="00C57832">
        <w:rPr>
          <w:lang w:val="fr-BE"/>
        </w:rPr>
        <w:t>);</w:t>
      </w:r>
      <w:proofErr w:type="gramEnd"/>
    </w:p>
    <w:p w14:paraId="7305F928" w14:textId="77777777" w:rsidR="007D4EE9" w:rsidRPr="00C57832" w:rsidRDefault="007D4EE9" w:rsidP="007D4EE9">
      <w:pPr>
        <w:rPr>
          <w:lang w:val="fr-BE"/>
        </w:rPr>
      </w:pPr>
      <w:r w:rsidRPr="00C57832">
        <w:rPr>
          <w:lang w:val="fr-BE"/>
        </w:rPr>
        <w:t>-</w:t>
      </w:r>
      <w:r w:rsidRPr="00C57832">
        <w:rPr>
          <w:lang w:val="fr-BE"/>
        </w:rPr>
        <w:tab/>
        <w:t xml:space="preserve">le montant de la </w:t>
      </w:r>
      <w:proofErr w:type="gramStart"/>
      <w:r w:rsidRPr="00C57832">
        <w:rPr>
          <w:lang w:val="fr-BE"/>
        </w:rPr>
        <w:t>TVA;</w:t>
      </w:r>
      <w:proofErr w:type="gramEnd"/>
    </w:p>
    <w:p w14:paraId="473464D3" w14:textId="1D464CB6" w:rsidR="007D4EE9" w:rsidRPr="00C57832" w:rsidRDefault="007D4EE9" w:rsidP="007D4EE9">
      <w:pPr>
        <w:rPr>
          <w:lang w:val="fr-BE"/>
        </w:rPr>
      </w:pPr>
      <w:r w:rsidRPr="00C57832">
        <w:rPr>
          <w:lang w:val="fr-BE"/>
        </w:rPr>
        <w:t>-</w:t>
      </w:r>
      <w:r w:rsidRPr="00C57832">
        <w:rPr>
          <w:lang w:val="fr-BE"/>
        </w:rPr>
        <w:tab/>
        <w:t xml:space="preserve">le montant total de </w:t>
      </w:r>
      <w:r w:rsidR="00992040" w:rsidRPr="00C57832">
        <w:rPr>
          <w:lang w:val="fr-BE"/>
        </w:rPr>
        <w:t>l’offre en</w:t>
      </w:r>
      <w:r w:rsidRPr="00C57832">
        <w:rPr>
          <w:lang w:val="fr-BE"/>
        </w:rPr>
        <w:t xml:space="preserve"> lettres et en chiffres (TVA incluse</w:t>
      </w:r>
      <w:proofErr w:type="gramStart"/>
      <w:r w:rsidRPr="00C57832">
        <w:rPr>
          <w:lang w:val="fr-BE"/>
        </w:rPr>
        <w:t>);</w:t>
      </w:r>
      <w:proofErr w:type="gramEnd"/>
    </w:p>
    <w:p w14:paraId="400CD5C8" w14:textId="77777777" w:rsidR="007D4EE9" w:rsidRPr="00C57832" w:rsidRDefault="007D4EE9" w:rsidP="007D4EE9">
      <w:pPr>
        <w:rPr>
          <w:lang w:val="fr-BE"/>
        </w:rPr>
      </w:pPr>
      <w:r w:rsidRPr="00C57832">
        <w:rPr>
          <w:lang w:val="fr-BE"/>
        </w:rPr>
        <w:t>-</w:t>
      </w:r>
      <w:r w:rsidRPr="00C57832">
        <w:rPr>
          <w:lang w:val="fr-BE"/>
        </w:rPr>
        <w:tab/>
        <w:t>la signature du rapport de dépôt par la personne ou les personnes compétentes ou mandatées, selon le cas, pour engager le soumissionnaire ;</w:t>
      </w:r>
    </w:p>
    <w:p w14:paraId="47723F69" w14:textId="77777777" w:rsidR="007D4EE9" w:rsidRPr="00C57832" w:rsidRDefault="007D4EE9" w:rsidP="007D4EE9">
      <w:pPr>
        <w:rPr>
          <w:lang w:val="fr-BE"/>
        </w:rPr>
      </w:pPr>
      <w:r w:rsidRPr="00C57832">
        <w:rPr>
          <w:lang w:val="fr-BE"/>
        </w:rPr>
        <w:t>-</w:t>
      </w:r>
      <w:r w:rsidRPr="00C57832">
        <w:rPr>
          <w:lang w:val="fr-BE"/>
        </w:rPr>
        <w:tab/>
        <w:t xml:space="preserve">la qualité de la personne ou des personnes, selon le cas, qui signe(nt) </w:t>
      </w:r>
      <w:proofErr w:type="gramStart"/>
      <w:r w:rsidRPr="00C57832">
        <w:rPr>
          <w:lang w:val="fr-BE"/>
        </w:rPr>
        <w:t>l’offre;</w:t>
      </w:r>
      <w:proofErr w:type="gramEnd"/>
    </w:p>
    <w:p w14:paraId="04F76C40" w14:textId="77777777" w:rsidR="007D4EE9" w:rsidRPr="00C57832" w:rsidRDefault="007D4EE9" w:rsidP="007D4EE9">
      <w:pPr>
        <w:rPr>
          <w:lang w:val="fr-BE"/>
        </w:rPr>
      </w:pPr>
      <w:r w:rsidRPr="00C57832">
        <w:rPr>
          <w:lang w:val="fr-BE"/>
        </w:rPr>
        <w:t>-</w:t>
      </w:r>
      <w:r w:rsidRPr="00C57832">
        <w:rPr>
          <w:lang w:val="fr-BE"/>
        </w:rPr>
        <w:tab/>
        <w:t>le numéro d’immatriculation complet du soumissionnaire auprès de la Banque Carrefour des Entreprises (pour les soumissionnaires belges</w:t>
      </w:r>
      <w:proofErr w:type="gramStart"/>
      <w:r w:rsidRPr="00C57832">
        <w:rPr>
          <w:lang w:val="fr-BE"/>
        </w:rPr>
        <w:t>);</w:t>
      </w:r>
      <w:proofErr w:type="gramEnd"/>
    </w:p>
    <w:p w14:paraId="01DD5CA9" w14:textId="23008335" w:rsidR="007D4EE9" w:rsidRPr="00C57832" w:rsidRDefault="007D4EE9" w:rsidP="007D4EE9">
      <w:pPr>
        <w:rPr>
          <w:lang w:val="fr-BE"/>
        </w:rPr>
      </w:pPr>
      <w:r w:rsidRPr="00C57832">
        <w:rPr>
          <w:lang w:val="fr-BE"/>
        </w:rPr>
        <w:t>-</w:t>
      </w:r>
      <w:r w:rsidRPr="00C57832">
        <w:rPr>
          <w:lang w:val="fr-BE"/>
        </w:rPr>
        <w:tab/>
        <w:t>&lt;+ autres mentions éventuelles qui doivent figurer dans l’offre&gt;.</w:t>
      </w:r>
    </w:p>
    <w:p w14:paraId="397C7DC9" w14:textId="78F2556D" w:rsidR="006B4934" w:rsidRPr="00C57832" w:rsidRDefault="007D4EE9" w:rsidP="00BB166A">
      <w:pPr>
        <w:pStyle w:val="Titre3"/>
        <w:numPr>
          <w:ilvl w:val="1"/>
          <w:numId w:val="24"/>
        </w:numPr>
        <w:spacing w:after="100" w:afterAutospacing="1"/>
        <w:rPr>
          <w:sz w:val="22"/>
          <w:lang w:val="fr-BE" w:eastAsia="nl-NL"/>
        </w:rPr>
      </w:pPr>
      <w:bookmarkStart w:id="42" w:name="_Toc200945499"/>
      <w:bookmarkStart w:id="43" w:name="_Toc201025132"/>
      <w:bookmarkStart w:id="44" w:name="_Toc201587437"/>
      <w:bookmarkStart w:id="45" w:name="_Toc513197738"/>
      <w:r w:rsidRPr="00C57832">
        <w:rPr>
          <w:sz w:val="22"/>
          <w:lang w:val="fr-BE" w:eastAsia="nl-NL"/>
        </w:rPr>
        <w:t>Durée de v</w:t>
      </w:r>
      <w:r w:rsidR="006B4934" w:rsidRPr="00C57832">
        <w:rPr>
          <w:sz w:val="22"/>
          <w:lang w:val="fr-BE" w:eastAsia="nl-NL"/>
        </w:rPr>
        <w:t>alidité de l’offre</w:t>
      </w:r>
      <w:bookmarkEnd w:id="42"/>
      <w:bookmarkEnd w:id="43"/>
      <w:bookmarkEnd w:id="44"/>
      <w:bookmarkEnd w:id="45"/>
      <w:r w:rsidRPr="00C57832">
        <w:rPr>
          <w:sz w:val="22"/>
          <w:lang w:val="fr-BE" w:eastAsia="nl-NL"/>
        </w:rPr>
        <w:t xml:space="preserve"> (délai d’engagement)</w:t>
      </w:r>
    </w:p>
    <w:p w14:paraId="397C7DCA" w14:textId="4A57FDA9" w:rsidR="006B4934" w:rsidRPr="00C57832" w:rsidRDefault="006B4934">
      <w:pPr>
        <w:rPr>
          <w:lang w:val="fr-BE"/>
        </w:rPr>
      </w:pPr>
      <w:r w:rsidRPr="00C57832">
        <w:rPr>
          <w:lang w:val="fr-BE"/>
        </w:rPr>
        <w:t xml:space="preserve">Les soumissionnaires restent engagés par leur offre, pendant un délai de 180 jours calendrier prenant cours le lendemain du jour de l'ouverture des offres. </w:t>
      </w:r>
    </w:p>
    <w:p w14:paraId="397C7DCB" w14:textId="77777777" w:rsidR="006B4934" w:rsidRPr="00C57832" w:rsidRDefault="006B4934">
      <w:pPr>
        <w:rPr>
          <w:lang w:val="fr-BE"/>
        </w:rPr>
      </w:pPr>
      <w:r w:rsidRPr="00C57832">
        <w:rPr>
          <w:lang w:val="fr-BE"/>
        </w:rPr>
        <w:t>Avant de désigner le prestataire de services, le pouvoir adjudicateur peut corriger les fautes de calcul et fautes manifestes dans l'offre, sans qu'il soit tenu responsable des fautes non découvertes.</w:t>
      </w:r>
    </w:p>
    <w:p w14:paraId="397C7DCC" w14:textId="1DA1DB1F" w:rsidR="006B4934" w:rsidRPr="00C57832" w:rsidRDefault="006B4934" w:rsidP="00BB166A">
      <w:pPr>
        <w:pStyle w:val="Titre3"/>
        <w:numPr>
          <w:ilvl w:val="1"/>
          <w:numId w:val="24"/>
        </w:numPr>
        <w:spacing w:after="100" w:afterAutospacing="1"/>
        <w:rPr>
          <w:sz w:val="22"/>
          <w:lang w:val="fr-BE" w:eastAsia="nl-NL"/>
        </w:rPr>
      </w:pPr>
      <w:bookmarkStart w:id="46" w:name="_Toc200945500"/>
      <w:bookmarkStart w:id="47" w:name="_Toc201025133"/>
      <w:bookmarkStart w:id="48" w:name="_Toc201587438"/>
      <w:bookmarkStart w:id="49" w:name="_Toc513197739"/>
      <w:r w:rsidRPr="00C57832">
        <w:rPr>
          <w:sz w:val="22"/>
          <w:lang w:val="fr-BE" w:eastAsia="nl-NL"/>
        </w:rPr>
        <w:t>Documents et attestations à joindre à l’offre</w:t>
      </w:r>
      <w:bookmarkEnd w:id="46"/>
      <w:bookmarkEnd w:id="47"/>
      <w:bookmarkEnd w:id="48"/>
      <w:bookmarkEnd w:id="49"/>
    </w:p>
    <w:p w14:paraId="1B6D81BB" w14:textId="3E5E040B" w:rsidR="007D4EE9" w:rsidRPr="00364443" w:rsidRDefault="007D4EE9" w:rsidP="00BB166A">
      <w:pPr>
        <w:pStyle w:val="Titre3"/>
        <w:numPr>
          <w:ilvl w:val="2"/>
          <w:numId w:val="24"/>
        </w:numPr>
        <w:spacing w:after="100" w:afterAutospacing="1"/>
        <w:rPr>
          <w:lang w:val="fr-BE" w:eastAsia="nl-NL"/>
        </w:rPr>
      </w:pPr>
      <w:r w:rsidRPr="00364443">
        <w:rPr>
          <w:lang w:val="fr-BE" w:eastAsia="nl-NL"/>
        </w:rPr>
        <w:t>Documents / informations à joindre dans le cadre des critères d’attribution</w:t>
      </w:r>
      <w:r w:rsidR="007C49C3" w:rsidRPr="00364443">
        <w:rPr>
          <w:lang w:val="fr-BE" w:eastAsia="nl-NL"/>
        </w:rPr>
        <w:t xml:space="preserve"> repris dans ce cahier des charges</w:t>
      </w:r>
      <w:r w:rsidRPr="00364443">
        <w:rPr>
          <w:lang w:val="fr-BE" w:eastAsia="nl-NL"/>
        </w:rPr>
        <w:t xml:space="preserve"> </w:t>
      </w:r>
    </w:p>
    <w:p w14:paraId="216EE656" w14:textId="67B033C1" w:rsidR="001116FF" w:rsidRPr="00C57832" w:rsidRDefault="009F7F66" w:rsidP="00BB166A">
      <w:pPr>
        <w:pStyle w:val="Listepuces"/>
        <w:numPr>
          <w:ilvl w:val="0"/>
          <w:numId w:val="20"/>
        </w:numPr>
        <w:ind w:left="360"/>
        <w:rPr>
          <w:rFonts w:eastAsia="Times New Roman"/>
          <w:lang w:val="fr-BE" w:eastAsia="nl-NL"/>
        </w:rPr>
      </w:pPr>
      <w:r w:rsidRPr="00C57832">
        <w:rPr>
          <w:snapToGrid w:val="0"/>
          <w:lang w:val="fr-BE" w:eastAsia="nl-NL"/>
        </w:rPr>
        <w:t>Une d</w:t>
      </w:r>
      <w:r w:rsidR="001116FF" w:rsidRPr="00C57832">
        <w:rPr>
          <w:snapToGrid w:val="0"/>
          <w:lang w:val="fr-BE" w:eastAsia="nl-NL"/>
        </w:rPr>
        <w:t xml:space="preserve">escription de la </w:t>
      </w:r>
      <w:r w:rsidR="00047BD8" w:rsidRPr="00C57832">
        <w:rPr>
          <w:snapToGrid w:val="0"/>
          <w:lang w:val="fr-BE" w:eastAsia="nl-NL"/>
        </w:rPr>
        <w:t>façon dont</w:t>
      </w:r>
      <w:r w:rsidR="001116FF" w:rsidRPr="00C57832">
        <w:rPr>
          <w:snapToGrid w:val="0"/>
          <w:lang w:val="fr-BE" w:eastAsia="nl-NL"/>
        </w:rPr>
        <w:t xml:space="preserve"> le soumissionnaire garanti</w:t>
      </w:r>
      <w:r w:rsidR="00F57AD8" w:rsidRPr="00C57832">
        <w:rPr>
          <w:snapToGrid w:val="0"/>
          <w:lang w:val="fr-BE" w:eastAsia="nl-NL"/>
        </w:rPr>
        <w:t>t</w:t>
      </w:r>
      <w:r w:rsidR="001116FF" w:rsidRPr="00C57832">
        <w:rPr>
          <w:snapToGrid w:val="0"/>
          <w:lang w:val="fr-BE" w:eastAsia="nl-NL"/>
        </w:rPr>
        <w:t xml:space="preserve"> la </w:t>
      </w:r>
      <w:r w:rsidR="001116FF" w:rsidRPr="00C57832">
        <w:rPr>
          <w:b/>
          <w:snapToGrid w:val="0"/>
          <w:lang w:val="fr-BE" w:eastAsia="nl-NL"/>
        </w:rPr>
        <w:t xml:space="preserve">qualité </w:t>
      </w:r>
      <w:r w:rsidR="001116FF" w:rsidRPr="00C57832">
        <w:rPr>
          <w:snapToGrid w:val="0"/>
          <w:lang w:val="fr-BE" w:eastAsia="nl-NL"/>
        </w:rPr>
        <w:t>du</w:t>
      </w:r>
      <w:r w:rsidR="0092123F" w:rsidRPr="00C57832">
        <w:rPr>
          <w:snapToGrid w:val="0"/>
          <w:lang w:val="fr-BE" w:eastAsia="nl-NL"/>
        </w:rPr>
        <w:t xml:space="preserve"> service de collecte et </w:t>
      </w:r>
      <w:r w:rsidR="00F57AD8" w:rsidRPr="00C57832">
        <w:rPr>
          <w:snapToGrid w:val="0"/>
          <w:lang w:val="fr-BE" w:eastAsia="nl-NL"/>
        </w:rPr>
        <w:t>des matières collectées</w:t>
      </w:r>
      <w:r w:rsidR="001116FF" w:rsidRPr="00C57832">
        <w:rPr>
          <w:snapToGrid w:val="0"/>
          <w:lang w:val="fr-BE" w:eastAsia="nl-NL"/>
        </w:rPr>
        <w:t xml:space="preserve"> dans le cadre du présent Marché, </w:t>
      </w:r>
      <w:r w:rsidR="00B6151B" w:rsidRPr="00C57832">
        <w:rPr>
          <w:snapToGrid w:val="0"/>
          <w:lang w:val="fr-BE" w:eastAsia="nl-NL"/>
        </w:rPr>
        <w:t>ainsi que</w:t>
      </w:r>
      <w:r w:rsidR="001116FF" w:rsidRPr="00C57832">
        <w:rPr>
          <w:snapToGrid w:val="0"/>
          <w:lang w:val="fr-BE" w:eastAsia="nl-NL"/>
        </w:rPr>
        <w:t xml:space="preserve"> l’éventuelle communication à ce sujet envers le pouvoir adjudicateur. Le soumissionnaire </w:t>
      </w:r>
      <w:r w:rsidR="00047BD8" w:rsidRPr="00C57832">
        <w:rPr>
          <w:snapToGrid w:val="0"/>
          <w:lang w:val="fr-BE" w:eastAsia="nl-NL"/>
        </w:rPr>
        <w:t xml:space="preserve">le </w:t>
      </w:r>
      <w:r w:rsidR="001116FF" w:rsidRPr="00C57832">
        <w:rPr>
          <w:snapToGrid w:val="0"/>
          <w:lang w:val="fr-BE" w:eastAsia="nl-NL"/>
        </w:rPr>
        <w:t xml:space="preserve">démontre </w:t>
      </w:r>
      <w:r w:rsidR="00047BD8" w:rsidRPr="00C57832">
        <w:rPr>
          <w:snapToGrid w:val="0"/>
          <w:lang w:val="fr-BE" w:eastAsia="nl-NL"/>
        </w:rPr>
        <w:t>au moyen</w:t>
      </w:r>
      <w:r w:rsidR="001116FF" w:rsidRPr="00C57832">
        <w:rPr>
          <w:snapToGrid w:val="0"/>
          <w:lang w:val="fr-BE" w:eastAsia="nl-NL"/>
        </w:rPr>
        <w:t xml:space="preserve"> d’un dossier documenté qui contient les documents </w:t>
      </w:r>
      <w:r w:rsidR="00B6151B" w:rsidRPr="00C57832">
        <w:rPr>
          <w:snapToGrid w:val="0"/>
          <w:lang w:val="fr-BE" w:eastAsia="nl-NL"/>
        </w:rPr>
        <w:t>suivants :</w:t>
      </w:r>
    </w:p>
    <w:p w14:paraId="397C7DDD" w14:textId="6F2C1B98" w:rsidR="00681B3E" w:rsidRPr="00C57832" w:rsidRDefault="00D63320" w:rsidP="00BB166A">
      <w:pPr>
        <w:pStyle w:val="Listepuces"/>
        <w:numPr>
          <w:ilvl w:val="0"/>
          <w:numId w:val="21"/>
        </w:numPr>
        <w:ind w:left="708"/>
        <w:rPr>
          <w:rFonts w:eastAsia="Times New Roman"/>
          <w:lang w:val="fr-BE" w:eastAsia="nl-NL"/>
        </w:rPr>
      </w:pPr>
      <w:r w:rsidRPr="00C57832">
        <w:rPr>
          <w:rFonts w:eastAsia="Times New Roman"/>
          <w:lang w:val="fr-BE" w:eastAsia="nl-NL"/>
        </w:rPr>
        <w:t>Un p</w:t>
      </w:r>
      <w:r w:rsidR="00975D97" w:rsidRPr="00C57832">
        <w:rPr>
          <w:rFonts w:eastAsia="Times New Roman"/>
          <w:lang w:val="fr-BE" w:eastAsia="nl-NL"/>
        </w:rPr>
        <w:t xml:space="preserve">lanning </w:t>
      </w:r>
      <w:r w:rsidR="00E03C1A" w:rsidRPr="00C57832">
        <w:rPr>
          <w:rFonts w:eastAsia="Times New Roman"/>
          <w:lang w:val="fr-BE" w:eastAsia="nl-NL"/>
        </w:rPr>
        <w:t xml:space="preserve">du </w:t>
      </w:r>
      <w:r w:rsidR="006C0583" w:rsidRPr="00C57832">
        <w:rPr>
          <w:rFonts w:eastAsia="Times New Roman"/>
          <w:lang w:val="fr-BE" w:eastAsia="nl-NL"/>
        </w:rPr>
        <w:t>schéma</w:t>
      </w:r>
      <w:r w:rsidR="00E03C1A" w:rsidRPr="00C57832">
        <w:rPr>
          <w:rFonts w:eastAsia="Times New Roman"/>
          <w:lang w:val="fr-BE" w:eastAsia="nl-NL"/>
        </w:rPr>
        <w:t xml:space="preserve"> de collecte en porte-à-porte </w:t>
      </w:r>
      <w:r w:rsidR="001F6EC5" w:rsidRPr="00C57832">
        <w:rPr>
          <w:rFonts w:eastAsia="Times New Roman"/>
          <w:lang w:val="fr-BE" w:eastAsia="nl-NL"/>
        </w:rPr>
        <w:t xml:space="preserve">dans le cadre de ce Marché </w:t>
      </w:r>
      <w:r w:rsidR="00E03C1A" w:rsidRPr="00C57832">
        <w:rPr>
          <w:rFonts w:eastAsia="Times New Roman"/>
          <w:lang w:val="fr-BE" w:eastAsia="nl-NL"/>
        </w:rPr>
        <w:t xml:space="preserve">avec mention du nombre de véhicules </w:t>
      </w:r>
      <w:r w:rsidR="00511000" w:rsidRPr="00C57832">
        <w:rPr>
          <w:rFonts w:eastAsia="Times New Roman"/>
          <w:lang w:val="fr-BE" w:eastAsia="nl-NL"/>
        </w:rPr>
        <w:t xml:space="preserve">utilisés </w:t>
      </w:r>
      <w:r w:rsidR="00E03C1A" w:rsidRPr="00C57832">
        <w:rPr>
          <w:rFonts w:eastAsia="Times New Roman"/>
          <w:lang w:val="fr-BE" w:eastAsia="nl-NL"/>
        </w:rPr>
        <w:t>et de personne</w:t>
      </w:r>
      <w:r w:rsidR="00CB126B" w:rsidRPr="00C57832">
        <w:rPr>
          <w:rFonts w:eastAsia="Times New Roman"/>
          <w:lang w:val="fr-BE" w:eastAsia="nl-NL"/>
        </w:rPr>
        <w:t xml:space="preserve">s </w:t>
      </w:r>
      <w:r w:rsidR="00511000" w:rsidRPr="00C57832">
        <w:rPr>
          <w:rFonts w:eastAsia="Times New Roman"/>
          <w:lang w:val="fr-BE" w:eastAsia="nl-NL"/>
        </w:rPr>
        <w:t>affectées</w:t>
      </w:r>
      <w:r w:rsidR="00790B1A" w:rsidRPr="00C57832">
        <w:rPr>
          <w:rFonts w:eastAsia="Times New Roman"/>
          <w:lang w:val="fr-BE" w:eastAsia="nl-NL"/>
        </w:rPr>
        <w:t xml:space="preserve"> </w:t>
      </w:r>
      <w:r w:rsidR="00511000" w:rsidRPr="00C57832">
        <w:rPr>
          <w:rFonts w:eastAsia="Times New Roman"/>
          <w:lang w:val="fr-BE" w:eastAsia="nl-NL"/>
        </w:rPr>
        <w:t xml:space="preserve">(chauffeurs et chargeurs) </w:t>
      </w:r>
      <w:r w:rsidR="00790B1A" w:rsidRPr="00C57832">
        <w:rPr>
          <w:rFonts w:eastAsia="Times New Roman"/>
          <w:lang w:val="fr-BE" w:eastAsia="nl-NL"/>
        </w:rPr>
        <w:t xml:space="preserve">par </w:t>
      </w:r>
      <w:r w:rsidR="00B6151B" w:rsidRPr="00C57832">
        <w:rPr>
          <w:rFonts w:eastAsia="Times New Roman"/>
          <w:lang w:val="fr-BE" w:eastAsia="nl-NL"/>
        </w:rPr>
        <w:t>jour ;</w:t>
      </w:r>
    </w:p>
    <w:p w14:paraId="397C7DDE" w14:textId="71453961" w:rsidR="00681B3E" w:rsidRPr="00C57832" w:rsidRDefault="00D63320" w:rsidP="00BB166A">
      <w:pPr>
        <w:pStyle w:val="Listepuces"/>
        <w:numPr>
          <w:ilvl w:val="0"/>
          <w:numId w:val="21"/>
        </w:numPr>
        <w:ind w:left="708"/>
        <w:rPr>
          <w:rFonts w:eastAsia="Times New Roman"/>
          <w:lang w:val="fr-BE" w:eastAsia="nl-NL"/>
        </w:rPr>
      </w:pPr>
      <w:r w:rsidRPr="00C57832">
        <w:rPr>
          <w:rFonts w:eastAsia="Times New Roman"/>
          <w:lang w:val="fr-BE" w:eastAsia="nl-NL"/>
        </w:rPr>
        <w:t>Une d</w:t>
      </w:r>
      <w:r w:rsidR="00E3679C" w:rsidRPr="00C57832">
        <w:rPr>
          <w:rFonts w:eastAsia="Times New Roman"/>
          <w:lang w:val="fr-BE" w:eastAsia="nl-NL"/>
        </w:rPr>
        <w:t xml:space="preserve">éclaration du nombre </w:t>
      </w:r>
      <w:r w:rsidR="00C5244F" w:rsidRPr="00C57832">
        <w:rPr>
          <w:rFonts w:eastAsia="Times New Roman"/>
          <w:lang w:val="fr-BE" w:eastAsia="nl-NL"/>
        </w:rPr>
        <w:t xml:space="preserve">de </w:t>
      </w:r>
      <w:r w:rsidR="006E735B" w:rsidRPr="00C57832">
        <w:rPr>
          <w:rFonts w:eastAsia="Times New Roman"/>
          <w:lang w:val="fr-BE" w:eastAsia="nl-NL"/>
        </w:rPr>
        <w:t xml:space="preserve">véhicules qui seront </w:t>
      </w:r>
      <w:r w:rsidR="00E3679C" w:rsidRPr="00C57832">
        <w:rPr>
          <w:rFonts w:eastAsia="Times New Roman"/>
          <w:lang w:val="fr-BE" w:eastAsia="nl-NL"/>
        </w:rPr>
        <w:t xml:space="preserve">précisément </w:t>
      </w:r>
      <w:r w:rsidR="006E735B" w:rsidRPr="00C57832">
        <w:rPr>
          <w:rFonts w:eastAsia="Times New Roman"/>
          <w:lang w:val="fr-BE" w:eastAsia="nl-NL"/>
        </w:rPr>
        <w:t xml:space="preserve">affectés à l’exécution </w:t>
      </w:r>
      <w:r w:rsidR="008B73C4" w:rsidRPr="00C57832">
        <w:rPr>
          <w:rFonts w:eastAsia="Times New Roman"/>
          <w:lang w:val="fr-BE" w:eastAsia="nl-NL"/>
        </w:rPr>
        <w:t>du Marché</w:t>
      </w:r>
      <w:r w:rsidR="006E735B" w:rsidRPr="00C57832">
        <w:rPr>
          <w:rFonts w:eastAsia="Times New Roman"/>
          <w:lang w:val="fr-BE" w:eastAsia="nl-NL"/>
        </w:rPr>
        <w:t>. Ce</w:t>
      </w:r>
      <w:r w:rsidR="00CC1349" w:rsidRPr="00C57832">
        <w:rPr>
          <w:rFonts w:eastAsia="Times New Roman"/>
          <w:lang w:val="fr-BE" w:eastAsia="nl-NL"/>
        </w:rPr>
        <w:t xml:space="preserve"> document</w:t>
      </w:r>
      <w:r w:rsidR="006E735B" w:rsidRPr="00C57832">
        <w:rPr>
          <w:rFonts w:eastAsia="Times New Roman"/>
          <w:lang w:val="fr-BE" w:eastAsia="nl-NL"/>
        </w:rPr>
        <w:t xml:space="preserve"> reprendra de manière précise et complète les caractéristiques techniques </w:t>
      </w:r>
      <w:r w:rsidR="00266DCC" w:rsidRPr="00C57832">
        <w:rPr>
          <w:rFonts w:eastAsia="Times New Roman"/>
          <w:lang w:val="fr-BE" w:eastAsia="nl-NL"/>
        </w:rPr>
        <w:t xml:space="preserve">et de sécurité </w:t>
      </w:r>
      <w:r w:rsidR="006E735B" w:rsidRPr="00C57832">
        <w:rPr>
          <w:rFonts w:eastAsia="Times New Roman"/>
          <w:lang w:val="fr-BE" w:eastAsia="nl-NL"/>
        </w:rPr>
        <w:t xml:space="preserve">de chaque véhicule, leurs équipements, le modèle, </w:t>
      </w:r>
      <w:r w:rsidR="008820B1" w:rsidRPr="00C57832">
        <w:rPr>
          <w:rFonts w:eastAsia="Times New Roman"/>
          <w:lang w:val="fr-BE" w:eastAsia="nl-NL"/>
        </w:rPr>
        <w:t>l’année de construction,</w:t>
      </w:r>
      <w:r w:rsidR="007E32CE" w:rsidRPr="00C57832">
        <w:rPr>
          <w:rFonts w:eastAsia="Times New Roman"/>
          <w:lang w:val="fr-BE" w:eastAsia="nl-NL"/>
        </w:rPr>
        <w:t xml:space="preserve"> la norme EURO du moteur,</w:t>
      </w:r>
      <w:r w:rsidR="008820B1" w:rsidRPr="00C57832">
        <w:rPr>
          <w:rFonts w:eastAsia="Times New Roman"/>
          <w:lang w:val="fr-BE" w:eastAsia="nl-NL"/>
        </w:rPr>
        <w:t xml:space="preserve"> </w:t>
      </w:r>
      <w:r w:rsidR="00DE1FD1" w:rsidRPr="00C57832">
        <w:rPr>
          <w:rFonts w:eastAsia="Times New Roman"/>
          <w:lang w:val="fr-BE" w:eastAsia="nl-NL"/>
        </w:rPr>
        <w:t>les informations re</w:t>
      </w:r>
      <w:r w:rsidR="0030367F" w:rsidRPr="00C57832">
        <w:rPr>
          <w:rFonts w:eastAsia="Times New Roman"/>
          <w:lang w:val="fr-BE" w:eastAsia="nl-NL"/>
        </w:rPr>
        <w:t>l</w:t>
      </w:r>
      <w:r w:rsidR="00DE1FD1" w:rsidRPr="00C57832">
        <w:rPr>
          <w:rFonts w:eastAsia="Times New Roman"/>
          <w:lang w:val="fr-BE" w:eastAsia="nl-NL"/>
        </w:rPr>
        <w:t>atives aux émissions de C</w:t>
      </w:r>
      <w:r w:rsidR="00BA7EC6" w:rsidRPr="00C57832">
        <w:rPr>
          <w:rFonts w:eastAsia="Times New Roman"/>
          <w:lang w:val="fr-BE" w:eastAsia="nl-NL"/>
        </w:rPr>
        <w:t>O</w:t>
      </w:r>
      <w:r w:rsidR="00DE1FD1" w:rsidRPr="00C57832">
        <w:rPr>
          <w:rFonts w:eastAsia="Times New Roman"/>
          <w:vertAlign w:val="subscript"/>
          <w:lang w:val="fr-BE" w:eastAsia="nl-NL"/>
        </w:rPr>
        <w:t>2</w:t>
      </w:r>
      <w:r w:rsidR="00DD5423" w:rsidRPr="00C57832">
        <w:rPr>
          <w:rFonts w:eastAsia="Times New Roman"/>
          <w:lang w:val="fr-BE" w:eastAsia="nl-NL"/>
        </w:rPr>
        <w:t xml:space="preserve"> et </w:t>
      </w:r>
      <w:r w:rsidR="008820B1" w:rsidRPr="00C57832">
        <w:rPr>
          <w:rFonts w:eastAsia="Times New Roman"/>
          <w:lang w:val="fr-BE" w:eastAsia="nl-NL"/>
        </w:rPr>
        <w:t xml:space="preserve">l’équipement ou non d’un filtre à </w:t>
      </w:r>
      <w:r w:rsidR="00B6151B" w:rsidRPr="00C57832">
        <w:rPr>
          <w:rFonts w:eastAsia="Times New Roman"/>
          <w:lang w:val="fr-BE" w:eastAsia="nl-NL"/>
        </w:rPr>
        <w:t>particules ;</w:t>
      </w:r>
    </w:p>
    <w:p w14:paraId="397C7DDF" w14:textId="10DDC565" w:rsidR="00681B3E" w:rsidRPr="00C57832" w:rsidRDefault="00D63320" w:rsidP="00BB166A">
      <w:pPr>
        <w:pStyle w:val="Listepuces"/>
        <w:numPr>
          <w:ilvl w:val="0"/>
          <w:numId w:val="21"/>
        </w:numPr>
        <w:ind w:left="708"/>
        <w:rPr>
          <w:rFonts w:eastAsia="Times New Roman"/>
          <w:lang w:val="fr-BE" w:eastAsia="nl-NL"/>
        </w:rPr>
      </w:pPr>
      <w:r w:rsidRPr="00C57832">
        <w:rPr>
          <w:rFonts w:eastAsia="Times New Roman"/>
          <w:lang w:val="fr-BE" w:eastAsia="nl-NL"/>
        </w:rPr>
        <w:t>Une d</w:t>
      </w:r>
      <w:r w:rsidR="00CC1349" w:rsidRPr="00C57832">
        <w:rPr>
          <w:rFonts w:eastAsia="Times New Roman"/>
          <w:lang w:val="fr-BE" w:eastAsia="nl-NL"/>
        </w:rPr>
        <w:t xml:space="preserve">éclaration du nombre de </w:t>
      </w:r>
      <w:r w:rsidR="00C5244F" w:rsidRPr="00C57832">
        <w:rPr>
          <w:rFonts w:eastAsia="Times New Roman"/>
          <w:lang w:val="fr-BE" w:eastAsia="nl-NL"/>
        </w:rPr>
        <w:t>véhicules</w:t>
      </w:r>
      <w:r w:rsidR="006E735B" w:rsidRPr="00C57832">
        <w:rPr>
          <w:rFonts w:eastAsia="Times New Roman"/>
          <w:lang w:val="fr-BE" w:eastAsia="nl-NL"/>
        </w:rPr>
        <w:t xml:space="preserve"> de réserve</w:t>
      </w:r>
      <w:r w:rsidR="00CC1349" w:rsidRPr="00C57832">
        <w:rPr>
          <w:rFonts w:eastAsia="Times New Roman"/>
          <w:lang w:val="fr-BE" w:eastAsia="nl-NL"/>
        </w:rPr>
        <w:t xml:space="preserve"> qui seront précisément affectés à l’exécution des prestations. Ce </w:t>
      </w:r>
      <w:r w:rsidR="00B6151B" w:rsidRPr="00C57832">
        <w:rPr>
          <w:rFonts w:eastAsia="Times New Roman"/>
          <w:lang w:val="fr-BE" w:eastAsia="nl-NL"/>
        </w:rPr>
        <w:t>document reprendra</w:t>
      </w:r>
      <w:r w:rsidR="00CC1349" w:rsidRPr="00C57832">
        <w:rPr>
          <w:rFonts w:eastAsia="Times New Roman"/>
          <w:lang w:val="fr-BE" w:eastAsia="nl-NL"/>
        </w:rPr>
        <w:t xml:space="preserve"> de manière précise et complète les caractéristiques techniques </w:t>
      </w:r>
      <w:r w:rsidR="00266DCC" w:rsidRPr="00C57832">
        <w:rPr>
          <w:rFonts w:eastAsia="Times New Roman"/>
          <w:lang w:val="fr-BE" w:eastAsia="nl-NL"/>
        </w:rPr>
        <w:t xml:space="preserve">et de sécurité </w:t>
      </w:r>
      <w:r w:rsidR="00CC1349" w:rsidRPr="00C57832">
        <w:rPr>
          <w:rFonts w:eastAsia="Times New Roman"/>
          <w:lang w:val="fr-BE" w:eastAsia="nl-NL"/>
        </w:rPr>
        <w:t xml:space="preserve">de chaque véhicule, leurs équipements, le modèle, </w:t>
      </w:r>
      <w:r w:rsidR="008820B1" w:rsidRPr="00C57832">
        <w:rPr>
          <w:rFonts w:eastAsia="Times New Roman"/>
          <w:lang w:val="fr-BE" w:eastAsia="nl-NL"/>
        </w:rPr>
        <w:t xml:space="preserve">l’année de construction, </w:t>
      </w:r>
      <w:r w:rsidR="001F6EC5" w:rsidRPr="00C57832">
        <w:rPr>
          <w:rFonts w:eastAsia="Times New Roman"/>
          <w:lang w:val="fr-BE" w:eastAsia="nl-NL"/>
        </w:rPr>
        <w:t xml:space="preserve">la norme EURO du moteur, </w:t>
      </w:r>
      <w:r w:rsidR="00DD5423" w:rsidRPr="00C57832">
        <w:rPr>
          <w:rFonts w:eastAsia="Times New Roman"/>
          <w:lang w:val="fr-BE" w:eastAsia="nl-NL"/>
        </w:rPr>
        <w:t>les informations relatives aux</w:t>
      </w:r>
      <w:r w:rsidR="008820B1" w:rsidRPr="00C57832">
        <w:rPr>
          <w:rFonts w:eastAsia="Times New Roman"/>
          <w:lang w:val="fr-BE" w:eastAsia="nl-NL"/>
        </w:rPr>
        <w:t xml:space="preserve"> </w:t>
      </w:r>
      <w:r w:rsidR="00E03C1A" w:rsidRPr="00C57832">
        <w:rPr>
          <w:rFonts w:eastAsia="Times New Roman"/>
          <w:lang w:val="fr-BE" w:eastAsia="nl-NL"/>
        </w:rPr>
        <w:t>émissions de C</w:t>
      </w:r>
      <w:r w:rsidR="00BA7EC6" w:rsidRPr="00C57832">
        <w:rPr>
          <w:rFonts w:eastAsia="Times New Roman"/>
          <w:lang w:val="fr-BE" w:eastAsia="nl-NL"/>
        </w:rPr>
        <w:t>O</w:t>
      </w:r>
      <w:r w:rsidR="00E03C1A" w:rsidRPr="00C57832">
        <w:rPr>
          <w:rFonts w:eastAsia="Times New Roman"/>
          <w:vertAlign w:val="subscript"/>
          <w:lang w:val="fr-BE" w:eastAsia="nl-NL"/>
        </w:rPr>
        <w:t>2</w:t>
      </w:r>
      <w:r w:rsidR="009159D5" w:rsidRPr="00C57832">
        <w:rPr>
          <w:rFonts w:eastAsia="Times New Roman"/>
          <w:lang w:val="fr-BE" w:eastAsia="nl-NL"/>
        </w:rPr>
        <w:t xml:space="preserve"> et</w:t>
      </w:r>
      <w:r w:rsidR="008820B1" w:rsidRPr="00C57832">
        <w:rPr>
          <w:rFonts w:eastAsia="Times New Roman"/>
          <w:lang w:val="fr-BE" w:eastAsia="nl-NL"/>
        </w:rPr>
        <w:t xml:space="preserve"> l’équipement ou non d’un filtre à </w:t>
      </w:r>
      <w:r w:rsidR="00B6151B" w:rsidRPr="00C57832">
        <w:rPr>
          <w:rFonts w:eastAsia="Times New Roman"/>
          <w:lang w:val="fr-BE" w:eastAsia="nl-NL"/>
        </w:rPr>
        <w:t>particules ;</w:t>
      </w:r>
    </w:p>
    <w:p w14:paraId="397C7DE0" w14:textId="09007FBF" w:rsidR="00681B3E" w:rsidRPr="00C57832" w:rsidRDefault="00BC6579" w:rsidP="00BB166A">
      <w:pPr>
        <w:pStyle w:val="Listepuces"/>
        <w:numPr>
          <w:ilvl w:val="0"/>
          <w:numId w:val="21"/>
        </w:numPr>
        <w:ind w:left="708"/>
        <w:rPr>
          <w:rFonts w:eastAsia="Times New Roman"/>
          <w:lang w:val="fr-BE" w:eastAsia="nl-NL"/>
        </w:rPr>
      </w:pPr>
      <w:r w:rsidRPr="00C57832">
        <w:rPr>
          <w:rFonts w:eastAsia="Times New Roman"/>
          <w:lang w:val="fr-BE" w:eastAsia="nl-NL"/>
        </w:rPr>
        <w:t>Une d</w:t>
      </w:r>
      <w:r w:rsidR="006E735B" w:rsidRPr="00C57832">
        <w:rPr>
          <w:rFonts w:eastAsia="Times New Roman"/>
          <w:lang w:val="fr-BE" w:eastAsia="nl-NL"/>
        </w:rPr>
        <w:t>escription complète d</w:t>
      </w:r>
      <w:r w:rsidR="00CC1349" w:rsidRPr="00C57832">
        <w:rPr>
          <w:rFonts w:eastAsia="Times New Roman"/>
          <w:lang w:val="fr-BE" w:eastAsia="nl-NL"/>
        </w:rPr>
        <w:t xml:space="preserve">e chaque </w:t>
      </w:r>
      <w:r w:rsidR="006E735B" w:rsidRPr="00C57832">
        <w:rPr>
          <w:rFonts w:eastAsia="Times New Roman"/>
          <w:lang w:val="fr-BE" w:eastAsia="nl-NL"/>
        </w:rPr>
        <w:t>type de conteneur proposé et la description des moyens de couverture de</w:t>
      </w:r>
      <w:r w:rsidR="00CC1349" w:rsidRPr="00C57832">
        <w:rPr>
          <w:rFonts w:eastAsia="Times New Roman"/>
          <w:lang w:val="fr-BE" w:eastAsia="nl-NL"/>
        </w:rPr>
        <w:t xml:space="preserve"> ce</w:t>
      </w:r>
      <w:r w:rsidR="006E735B" w:rsidRPr="00C57832">
        <w:rPr>
          <w:rFonts w:eastAsia="Times New Roman"/>
          <w:lang w:val="fr-BE" w:eastAsia="nl-NL"/>
        </w:rPr>
        <w:t xml:space="preserve">s </w:t>
      </w:r>
      <w:r w:rsidR="00B6151B" w:rsidRPr="00C57832">
        <w:rPr>
          <w:rFonts w:eastAsia="Times New Roman"/>
          <w:lang w:val="fr-BE" w:eastAsia="nl-NL"/>
        </w:rPr>
        <w:t>conteneurs ;</w:t>
      </w:r>
      <w:r w:rsidR="00947E23" w:rsidRPr="00C57832">
        <w:rPr>
          <w:rFonts w:eastAsia="Times New Roman"/>
          <w:lang w:val="fr-BE" w:eastAsia="nl-NL"/>
        </w:rPr>
        <w:t xml:space="preserve"> </w:t>
      </w:r>
    </w:p>
    <w:p w14:paraId="778C8B21" w14:textId="71FAFAC0" w:rsidR="0096290B" w:rsidRPr="00C57832" w:rsidRDefault="0096290B" w:rsidP="00BB166A">
      <w:pPr>
        <w:pStyle w:val="Listepuces"/>
        <w:numPr>
          <w:ilvl w:val="0"/>
          <w:numId w:val="21"/>
        </w:numPr>
        <w:ind w:left="708"/>
        <w:rPr>
          <w:rFonts w:eastAsia="Times New Roman"/>
          <w:lang w:val="fr-BE" w:eastAsia="nl-NL"/>
        </w:rPr>
      </w:pPr>
      <w:r w:rsidRPr="00C57832">
        <w:rPr>
          <w:rFonts w:eastAsia="Times New Roman"/>
          <w:lang w:val="fr-BE" w:eastAsia="nl-NL"/>
        </w:rPr>
        <w:t xml:space="preserve">Une description des mesures prises par le soumissionnaire et son(ses) éventuel(s) sous-traitant(s), </w:t>
      </w:r>
      <w:r w:rsidR="00D52AFF" w:rsidRPr="00C57832">
        <w:rPr>
          <w:rFonts w:eastAsia="Times New Roman"/>
          <w:lang w:val="fr-BE" w:eastAsia="nl-NL"/>
        </w:rPr>
        <w:t>y</w:t>
      </w:r>
      <w:r w:rsidRPr="00C57832">
        <w:rPr>
          <w:rFonts w:eastAsia="Times New Roman"/>
          <w:lang w:val="fr-BE" w:eastAsia="nl-NL"/>
        </w:rPr>
        <w:t xml:space="preserve"> compris la(les) station(s) de transfert, pour garantir la qualité des services ;</w:t>
      </w:r>
    </w:p>
    <w:p w14:paraId="596D44B0" w14:textId="25FA3F26" w:rsidR="00C55DDC" w:rsidRPr="00C57832" w:rsidRDefault="00D63320" w:rsidP="00BB166A">
      <w:pPr>
        <w:pStyle w:val="Listepuces"/>
        <w:numPr>
          <w:ilvl w:val="0"/>
          <w:numId w:val="21"/>
        </w:numPr>
        <w:ind w:left="708"/>
        <w:rPr>
          <w:rFonts w:eastAsia="Times New Roman"/>
          <w:lang w:val="fr-BE" w:eastAsia="nl-NL"/>
        </w:rPr>
      </w:pPr>
      <w:r w:rsidRPr="00C57832">
        <w:rPr>
          <w:rFonts w:eastAsia="Times New Roman"/>
          <w:lang w:val="fr-BE" w:eastAsia="nl-NL"/>
        </w:rPr>
        <w:t>Une d</w:t>
      </w:r>
      <w:r w:rsidR="00C55DDC" w:rsidRPr="00C57832">
        <w:rPr>
          <w:rFonts w:eastAsia="Times New Roman"/>
          <w:lang w:val="fr-BE" w:eastAsia="nl-NL"/>
        </w:rPr>
        <w:t xml:space="preserve">escription du plan d’approche proposé dans le cas de diverses situations (p.ex. travaux routiers, grève, intempéries qui rendent la collecte dangereuse ou impossible, pic </w:t>
      </w:r>
      <w:r w:rsidR="009159D5" w:rsidRPr="00C57832">
        <w:rPr>
          <w:rFonts w:eastAsia="Times New Roman"/>
          <w:lang w:val="fr-BE" w:eastAsia="nl-NL"/>
        </w:rPr>
        <w:t>de</w:t>
      </w:r>
      <w:r w:rsidR="00C55DDC" w:rsidRPr="00C57832">
        <w:rPr>
          <w:rFonts w:eastAsia="Times New Roman"/>
          <w:lang w:val="fr-BE" w:eastAsia="nl-NL"/>
        </w:rPr>
        <w:t xml:space="preserve"> quantité</w:t>
      </w:r>
      <w:r w:rsidR="00BB67E2" w:rsidRPr="00C57832">
        <w:rPr>
          <w:rFonts w:eastAsia="Times New Roman"/>
          <w:lang w:val="fr-BE" w:eastAsia="nl-NL"/>
        </w:rPr>
        <w:t>s</w:t>
      </w:r>
      <w:r w:rsidR="00C55DDC" w:rsidRPr="00C57832">
        <w:rPr>
          <w:rFonts w:eastAsia="Times New Roman"/>
          <w:lang w:val="fr-BE" w:eastAsia="nl-NL"/>
        </w:rPr>
        <w:t xml:space="preserve"> </w:t>
      </w:r>
      <w:r w:rsidR="00BB67E2" w:rsidRPr="00C57832">
        <w:rPr>
          <w:rFonts w:eastAsia="Times New Roman"/>
          <w:lang w:val="fr-BE" w:eastAsia="nl-NL"/>
        </w:rPr>
        <w:t>à collecter</w:t>
      </w:r>
      <w:r w:rsidR="00B6151B" w:rsidRPr="00C57832">
        <w:rPr>
          <w:rFonts w:eastAsia="Times New Roman"/>
          <w:lang w:val="fr-BE" w:eastAsia="nl-NL"/>
        </w:rPr>
        <w:t>…</w:t>
      </w:r>
      <w:r w:rsidR="00C55DDC" w:rsidRPr="00C57832">
        <w:rPr>
          <w:rFonts w:eastAsia="Times New Roman"/>
          <w:lang w:val="fr-BE" w:eastAsia="nl-NL"/>
        </w:rPr>
        <w:t xml:space="preserve">) et en particulier les mesures, en ce compris la communication </w:t>
      </w:r>
      <w:r w:rsidR="00C55DDC" w:rsidRPr="00C57832">
        <w:rPr>
          <w:rFonts w:eastAsia="Times New Roman"/>
          <w:lang w:val="fr-BE" w:eastAsia="nl-NL"/>
        </w:rPr>
        <w:lastRenderedPageBreak/>
        <w:t>vers le pouvoir adjudicateur, si la collecte prévue n’a pu être exécutée ou pas exécutée dans les horaires prévus</w:t>
      </w:r>
      <w:r w:rsidR="00490C37" w:rsidRPr="00C57832">
        <w:rPr>
          <w:rFonts w:eastAsia="Times New Roman"/>
          <w:lang w:val="fr-BE" w:eastAsia="nl-NL"/>
        </w:rPr>
        <w:t xml:space="preserve"> (</w:t>
      </w:r>
      <w:r w:rsidR="002A6048" w:rsidRPr="00C57832">
        <w:rPr>
          <w:rFonts w:eastAsia="Times New Roman"/>
          <w:lang w:val="fr-BE" w:eastAsia="nl-NL"/>
        </w:rPr>
        <w:t>le cas échéant</w:t>
      </w:r>
      <w:r w:rsidR="00490C37" w:rsidRPr="00C57832">
        <w:rPr>
          <w:rFonts w:eastAsia="Times New Roman"/>
          <w:lang w:val="fr-BE" w:eastAsia="nl-NL"/>
        </w:rPr>
        <w:t xml:space="preserve"> aussi pour la station de transfert</w:t>
      </w:r>
      <w:r w:rsidR="00B6151B" w:rsidRPr="00C57832">
        <w:rPr>
          <w:rFonts w:eastAsia="Times New Roman"/>
          <w:lang w:val="fr-BE" w:eastAsia="nl-NL"/>
        </w:rPr>
        <w:t>) ;</w:t>
      </w:r>
      <w:r w:rsidR="00C55DDC" w:rsidRPr="00C57832">
        <w:rPr>
          <w:rFonts w:eastAsia="Times New Roman"/>
          <w:lang w:val="fr-BE" w:eastAsia="nl-NL"/>
        </w:rPr>
        <w:t xml:space="preserve"> </w:t>
      </w:r>
    </w:p>
    <w:p w14:paraId="4FF0FDF6" w14:textId="43DBC91D" w:rsidR="00C55DDC" w:rsidRPr="00C57832" w:rsidRDefault="00D63320" w:rsidP="00BB166A">
      <w:pPr>
        <w:pStyle w:val="Listepuces"/>
        <w:numPr>
          <w:ilvl w:val="0"/>
          <w:numId w:val="21"/>
        </w:numPr>
        <w:ind w:left="708"/>
        <w:rPr>
          <w:rFonts w:eastAsia="Times New Roman"/>
          <w:lang w:val="fr-BE" w:eastAsia="nl-NL"/>
        </w:rPr>
      </w:pPr>
      <w:r w:rsidRPr="00C57832">
        <w:rPr>
          <w:rFonts w:eastAsia="Times New Roman"/>
          <w:lang w:val="fr-BE" w:eastAsia="nl-NL"/>
        </w:rPr>
        <w:t>Une d</w:t>
      </w:r>
      <w:r w:rsidR="00C55DDC" w:rsidRPr="00C57832">
        <w:rPr>
          <w:rFonts w:eastAsia="Times New Roman"/>
          <w:lang w:val="fr-BE" w:eastAsia="nl-NL"/>
        </w:rPr>
        <w:t>escription du système de suivi des plaintes : personne de contact, numéro de téléphone, e-mail, heures de permanence, traitement et suivi des plaintes</w:t>
      </w:r>
      <w:r w:rsidR="00490C37" w:rsidRPr="00C57832">
        <w:rPr>
          <w:rFonts w:eastAsia="Times New Roman"/>
          <w:lang w:val="fr-BE" w:eastAsia="nl-NL"/>
        </w:rPr>
        <w:t xml:space="preserve"> (</w:t>
      </w:r>
      <w:r w:rsidR="002A6048" w:rsidRPr="00C57832">
        <w:rPr>
          <w:rFonts w:eastAsia="Times New Roman"/>
          <w:lang w:val="fr-BE" w:eastAsia="nl-NL"/>
        </w:rPr>
        <w:t>le cas échéant</w:t>
      </w:r>
      <w:r w:rsidR="00490C37" w:rsidRPr="00C57832">
        <w:rPr>
          <w:rFonts w:eastAsia="Times New Roman"/>
          <w:lang w:val="fr-BE" w:eastAsia="nl-NL"/>
        </w:rPr>
        <w:t xml:space="preserve"> aussi pour la station de transfert</w:t>
      </w:r>
      <w:r w:rsidR="00B6151B" w:rsidRPr="00C57832">
        <w:rPr>
          <w:rFonts w:eastAsia="Times New Roman"/>
          <w:lang w:val="fr-BE" w:eastAsia="nl-NL"/>
        </w:rPr>
        <w:t>) ;</w:t>
      </w:r>
    </w:p>
    <w:p w14:paraId="16FB170B" w14:textId="00FE2111" w:rsidR="00B7717C" w:rsidRPr="00C57832" w:rsidRDefault="00D63320" w:rsidP="00BB166A">
      <w:pPr>
        <w:pStyle w:val="Listepuces"/>
        <w:numPr>
          <w:ilvl w:val="0"/>
          <w:numId w:val="21"/>
        </w:numPr>
        <w:ind w:left="708"/>
        <w:rPr>
          <w:rFonts w:eastAsia="Times New Roman"/>
          <w:lang w:val="fr-BE" w:eastAsia="nl-NL"/>
        </w:rPr>
      </w:pPr>
      <w:r w:rsidRPr="00C57832">
        <w:rPr>
          <w:rFonts w:eastAsia="Times New Roman"/>
          <w:lang w:val="fr-BE" w:eastAsia="nl-NL"/>
        </w:rPr>
        <w:t>Une d</w:t>
      </w:r>
      <w:r w:rsidR="00C55DDC" w:rsidRPr="00C57832">
        <w:rPr>
          <w:rFonts w:eastAsia="Times New Roman"/>
          <w:lang w:val="fr-BE" w:eastAsia="nl-NL"/>
        </w:rPr>
        <w:t xml:space="preserve">escription de la manière avec laquelle le soumissionnaire garantira </w:t>
      </w:r>
      <w:r w:rsidR="000C61E9" w:rsidRPr="00C57832">
        <w:rPr>
          <w:lang w:val="fr-BE"/>
        </w:rPr>
        <w:t xml:space="preserve">et maintiendra pendant le transport et le transbordement éventuel </w:t>
      </w:r>
      <w:r w:rsidR="00C55DDC" w:rsidRPr="00C57832">
        <w:rPr>
          <w:rFonts w:eastAsia="Times New Roman"/>
          <w:lang w:val="fr-BE" w:eastAsia="nl-NL"/>
        </w:rPr>
        <w:t xml:space="preserve">la qualité de la fraction collectée, </w:t>
      </w:r>
      <w:r w:rsidR="00BB67E2" w:rsidRPr="00C57832">
        <w:rPr>
          <w:rFonts w:eastAsia="Times New Roman"/>
          <w:lang w:val="fr-BE" w:eastAsia="nl-NL"/>
        </w:rPr>
        <w:t xml:space="preserve">ainsi que </w:t>
      </w:r>
      <w:r w:rsidR="00C55DDC" w:rsidRPr="00C57832">
        <w:rPr>
          <w:rFonts w:eastAsia="Times New Roman"/>
          <w:lang w:val="fr-BE" w:eastAsia="nl-NL"/>
        </w:rPr>
        <w:t xml:space="preserve">le rapportage éventuel prévu </w:t>
      </w:r>
      <w:r w:rsidR="00F83F1B" w:rsidRPr="00C57832">
        <w:rPr>
          <w:rFonts w:eastAsia="Times New Roman"/>
          <w:lang w:val="fr-BE" w:eastAsia="nl-NL"/>
        </w:rPr>
        <w:t xml:space="preserve">à ce sujet </w:t>
      </w:r>
      <w:r w:rsidR="00C55DDC" w:rsidRPr="00C57832">
        <w:rPr>
          <w:rFonts w:eastAsia="Times New Roman"/>
          <w:lang w:val="fr-BE" w:eastAsia="nl-NL"/>
        </w:rPr>
        <w:t>vers le pouvoir adjudicateur</w:t>
      </w:r>
      <w:r w:rsidR="00B7717C" w:rsidRPr="00C57832">
        <w:rPr>
          <w:rFonts w:eastAsia="Times New Roman"/>
          <w:lang w:val="fr-BE" w:eastAsia="nl-NL"/>
        </w:rPr>
        <w:t>.</w:t>
      </w:r>
    </w:p>
    <w:p w14:paraId="5E338EA7" w14:textId="0DD3A723" w:rsidR="00490C37" w:rsidRPr="00C57832" w:rsidRDefault="00490C37" w:rsidP="00BB166A">
      <w:pPr>
        <w:pStyle w:val="Listepuces"/>
        <w:numPr>
          <w:ilvl w:val="0"/>
          <w:numId w:val="21"/>
        </w:numPr>
        <w:ind w:left="708"/>
        <w:rPr>
          <w:rFonts w:eastAsia="Times New Roman"/>
          <w:lang w:val="fr-BE" w:eastAsia="nl-NL"/>
        </w:rPr>
      </w:pPr>
      <w:r w:rsidRPr="00C57832">
        <w:rPr>
          <w:rFonts w:eastAsia="Times New Roman"/>
          <w:lang w:val="fr-BE" w:eastAsia="nl-NL"/>
        </w:rPr>
        <w:t>Si une station de transfert est utilisée :</w:t>
      </w:r>
    </w:p>
    <w:p w14:paraId="4E4500E7" w14:textId="13C60874" w:rsidR="00490C37" w:rsidRPr="00C57832" w:rsidRDefault="00D63320" w:rsidP="00BB166A">
      <w:pPr>
        <w:pStyle w:val="Listepuces2"/>
        <w:numPr>
          <w:ilvl w:val="1"/>
          <w:numId w:val="21"/>
        </w:numPr>
        <w:ind w:left="1134"/>
        <w:rPr>
          <w:lang w:val="fr-BE" w:eastAsia="nl-NL"/>
        </w:rPr>
      </w:pPr>
      <w:r w:rsidRPr="00C57832">
        <w:rPr>
          <w:rFonts w:eastAsia="Times New Roman"/>
          <w:lang w:val="fr-BE" w:eastAsia="nl-NL"/>
        </w:rPr>
        <w:t>Une d</w:t>
      </w:r>
      <w:r w:rsidR="00490C37" w:rsidRPr="00C57832">
        <w:rPr>
          <w:lang w:val="fr-BE" w:eastAsia="nl-NL"/>
        </w:rPr>
        <w:t>escription des heures de livraison et d’enlèvement, au minimum entre 8 et 18 heures</w:t>
      </w:r>
      <w:r w:rsidR="00490C37" w:rsidRPr="00C57832">
        <w:rPr>
          <w:szCs w:val="18"/>
          <w:vertAlign w:val="superscript"/>
          <w:lang w:val="fr-BE"/>
        </w:rPr>
        <w:footnoteReference w:id="7"/>
      </w:r>
      <w:r w:rsidR="00490C37" w:rsidRPr="00C57832">
        <w:rPr>
          <w:lang w:val="fr-BE" w:eastAsia="nl-NL"/>
        </w:rPr>
        <w:t xml:space="preserve"> les jours ouvrables ;</w:t>
      </w:r>
    </w:p>
    <w:p w14:paraId="605CBA0D" w14:textId="79D67A3B" w:rsidR="00490C37" w:rsidRPr="00C57832" w:rsidRDefault="00D63320" w:rsidP="00BB166A">
      <w:pPr>
        <w:pStyle w:val="Listepuces2"/>
        <w:numPr>
          <w:ilvl w:val="1"/>
          <w:numId w:val="21"/>
        </w:numPr>
        <w:ind w:left="1134"/>
        <w:rPr>
          <w:lang w:val="fr-BE" w:eastAsia="nl-NL"/>
        </w:rPr>
      </w:pPr>
      <w:r w:rsidRPr="00C57832">
        <w:rPr>
          <w:rFonts w:eastAsia="Times New Roman"/>
          <w:lang w:val="fr-BE" w:eastAsia="nl-NL"/>
        </w:rPr>
        <w:t>Une d</w:t>
      </w:r>
      <w:r w:rsidR="00490C37" w:rsidRPr="00C57832">
        <w:rPr>
          <w:lang w:val="fr-BE" w:eastAsia="nl-NL"/>
        </w:rPr>
        <w:t>escription du système de contrôle de la qualité des matières avec une attention particulière pour la contamination (</w:t>
      </w:r>
      <w:r w:rsidR="001818C4" w:rsidRPr="00C57832">
        <w:rPr>
          <w:lang w:val="fr-BE" w:eastAsia="nl-NL"/>
        </w:rPr>
        <w:t xml:space="preserve">cf. </w:t>
      </w:r>
      <w:r w:rsidR="00490C37" w:rsidRPr="00C57832">
        <w:rPr>
          <w:lang w:val="fr-BE" w:eastAsia="nl-NL"/>
        </w:rPr>
        <w:t>art. 23) y compris la communication vers le pouvoir adjudicateur ;</w:t>
      </w:r>
    </w:p>
    <w:p w14:paraId="605A7DF4" w14:textId="57E261B8" w:rsidR="00490C37" w:rsidRPr="00C57832" w:rsidRDefault="00D63320" w:rsidP="00BB166A">
      <w:pPr>
        <w:pStyle w:val="Listepuces2"/>
        <w:numPr>
          <w:ilvl w:val="1"/>
          <w:numId w:val="21"/>
        </w:numPr>
        <w:ind w:left="1134"/>
        <w:rPr>
          <w:lang w:val="fr-BE" w:eastAsia="nl-NL"/>
        </w:rPr>
      </w:pPr>
      <w:r w:rsidRPr="00C57832">
        <w:rPr>
          <w:rFonts w:eastAsia="Times New Roman"/>
          <w:lang w:val="fr-BE" w:eastAsia="nl-NL"/>
        </w:rPr>
        <w:t>Une d</w:t>
      </w:r>
      <w:r w:rsidR="00490C37" w:rsidRPr="00C57832">
        <w:rPr>
          <w:lang w:val="fr-BE" w:eastAsia="nl-NL"/>
        </w:rPr>
        <w:t xml:space="preserve">escription détaillée de l’organisation logistique du site (nombre de ponts de pesée, plan de circulation sur le </w:t>
      </w:r>
      <w:r w:rsidR="00F83F1B" w:rsidRPr="00C57832">
        <w:rPr>
          <w:lang w:val="fr-BE" w:eastAsia="nl-NL"/>
        </w:rPr>
        <w:t>site…) ;</w:t>
      </w:r>
    </w:p>
    <w:p w14:paraId="0A9EF5CD" w14:textId="28AA36F2" w:rsidR="00490C37" w:rsidRPr="00C57832" w:rsidRDefault="00D63320" w:rsidP="00BB166A">
      <w:pPr>
        <w:pStyle w:val="Listepuces2"/>
        <w:numPr>
          <w:ilvl w:val="1"/>
          <w:numId w:val="21"/>
        </w:numPr>
        <w:ind w:left="1134"/>
        <w:rPr>
          <w:lang w:val="fr-BE" w:eastAsia="nl-NL"/>
        </w:rPr>
      </w:pPr>
      <w:r w:rsidRPr="00C57832">
        <w:rPr>
          <w:rFonts w:eastAsia="Times New Roman"/>
          <w:lang w:val="fr-BE" w:eastAsia="nl-NL"/>
        </w:rPr>
        <w:t>Une d</w:t>
      </w:r>
      <w:r w:rsidR="00490C37" w:rsidRPr="00C57832">
        <w:rPr>
          <w:lang w:val="fr-BE" w:eastAsia="nl-NL"/>
        </w:rPr>
        <w:t>escription des espaces de stockage ainsi que leur capacité ;</w:t>
      </w:r>
    </w:p>
    <w:p w14:paraId="0F486C21" w14:textId="250AA3EE" w:rsidR="00490C37" w:rsidRPr="00C57832" w:rsidRDefault="00D63320" w:rsidP="00BB166A">
      <w:pPr>
        <w:pStyle w:val="Listepuces2"/>
        <w:numPr>
          <w:ilvl w:val="1"/>
          <w:numId w:val="21"/>
        </w:numPr>
        <w:ind w:left="1134"/>
        <w:rPr>
          <w:lang w:val="fr-BE" w:eastAsia="nl-NL"/>
        </w:rPr>
      </w:pPr>
      <w:r w:rsidRPr="00C57832">
        <w:rPr>
          <w:rFonts w:eastAsia="Times New Roman"/>
          <w:lang w:val="fr-BE" w:eastAsia="nl-NL"/>
        </w:rPr>
        <w:t>Une d</w:t>
      </w:r>
      <w:r w:rsidR="00490C37" w:rsidRPr="00C57832">
        <w:rPr>
          <w:lang w:val="fr-BE" w:eastAsia="nl-NL"/>
        </w:rPr>
        <w:t>escription de la manière de stocker chaque fraction ;</w:t>
      </w:r>
    </w:p>
    <w:p w14:paraId="6868D95F" w14:textId="30473B01" w:rsidR="00490C37" w:rsidRPr="00C57832" w:rsidRDefault="00D63320" w:rsidP="00BB166A">
      <w:pPr>
        <w:pStyle w:val="Listepuces2"/>
        <w:numPr>
          <w:ilvl w:val="1"/>
          <w:numId w:val="21"/>
        </w:numPr>
        <w:ind w:left="1134"/>
        <w:rPr>
          <w:lang w:val="fr-BE" w:eastAsia="nl-NL"/>
        </w:rPr>
      </w:pPr>
      <w:r w:rsidRPr="00C57832">
        <w:rPr>
          <w:rFonts w:eastAsia="Times New Roman"/>
          <w:lang w:val="fr-BE" w:eastAsia="nl-NL"/>
        </w:rPr>
        <w:t>Une d</w:t>
      </w:r>
      <w:r w:rsidR="00490C37" w:rsidRPr="00C57832">
        <w:rPr>
          <w:lang w:val="fr-BE" w:eastAsia="nl-NL"/>
        </w:rPr>
        <w:t>escription permettant de juger que le matériel collecté est stocké sur un sol en dur et sous un espace couvert et que d’autres flux de déchets peuvent être stockés séparément</w:t>
      </w:r>
      <w:r w:rsidR="00F83F1B" w:rsidRPr="00C57832">
        <w:rPr>
          <w:lang w:val="fr-BE" w:eastAsia="nl-NL"/>
        </w:rPr>
        <w:t> ;</w:t>
      </w:r>
    </w:p>
    <w:p w14:paraId="43B6C21E" w14:textId="5C36E839" w:rsidR="00490C37" w:rsidRPr="00C57832" w:rsidRDefault="00D63320" w:rsidP="00BB166A">
      <w:pPr>
        <w:pStyle w:val="Listepuces2"/>
        <w:numPr>
          <w:ilvl w:val="1"/>
          <w:numId w:val="21"/>
        </w:numPr>
        <w:ind w:left="1134"/>
        <w:rPr>
          <w:lang w:val="fr-BE" w:eastAsia="nl-NL"/>
        </w:rPr>
      </w:pPr>
      <w:r w:rsidRPr="00C57832">
        <w:rPr>
          <w:rFonts w:eastAsia="Times New Roman"/>
          <w:lang w:val="fr-BE" w:eastAsia="nl-NL"/>
        </w:rPr>
        <w:t xml:space="preserve">Une </w:t>
      </w:r>
      <w:r w:rsidR="00E6383D" w:rsidRPr="00C57832">
        <w:rPr>
          <w:lang w:val="fr-BE" w:eastAsia="nl-NL"/>
        </w:rPr>
        <w:t>description</w:t>
      </w:r>
      <w:r w:rsidR="00490C37" w:rsidRPr="00C57832">
        <w:rPr>
          <w:lang w:val="fr-BE" w:eastAsia="nl-NL"/>
        </w:rPr>
        <w:t xml:space="preserve"> du mode de calcul et suivi administratif des flux entrants, des flux sortants et des stocks et la gestion opérationnelle.</w:t>
      </w:r>
    </w:p>
    <w:p w14:paraId="675440C2" w14:textId="6FD810EB" w:rsidR="00490C37" w:rsidRPr="00C57832" w:rsidRDefault="00490C37" w:rsidP="00845716">
      <w:pPr>
        <w:pStyle w:val="Listepuces"/>
        <w:numPr>
          <w:ilvl w:val="0"/>
          <w:numId w:val="0"/>
        </w:numPr>
        <w:ind w:left="38" w:hanging="199"/>
        <w:rPr>
          <w:rFonts w:eastAsia="Times New Roman"/>
          <w:lang w:val="fr-BE" w:eastAsia="nl-NL"/>
        </w:rPr>
      </w:pPr>
    </w:p>
    <w:p w14:paraId="11CD8E48" w14:textId="108F59F9" w:rsidR="00B7717C" w:rsidRPr="00C57832" w:rsidRDefault="00D87A66" w:rsidP="00BB166A">
      <w:pPr>
        <w:pStyle w:val="Listepuces"/>
        <w:numPr>
          <w:ilvl w:val="0"/>
          <w:numId w:val="19"/>
        </w:numPr>
        <w:rPr>
          <w:snapToGrid w:val="0"/>
          <w:lang w:val="fr-BE" w:eastAsia="nl-NL"/>
        </w:rPr>
      </w:pPr>
      <w:r w:rsidRPr="00C57832">
        <w:rPr>
          <w:snapToGrid w:val="0"/>
          <w:lang w:val="fr-BE" w:eastAsia="nl-NL"/>
        </w:rPr>
        <w:t xml:space="preserve">Une description du </w:t>
      </w:r>
      <w:r w:rsidRPr="00C57832">
        <w:rPr>
          <w:b/>
          <w:snapToGrid w:val="0"/>
          <w:lang w:val="fr-BE" w:eastAsia="nl-NL"/>
        </w:rPr>
        <w:t>système de</w:t>
      </w:r>
      <w:r w:rsidRPr="00C57832">
        <w:rPr>
          <w:snapToGrid w:val="0"/>
          <w:lang w:val="fr-BE" w:eastAsia="nl-NL"/>
        </w:rPr>
        <w:t xml:space="preserve"> </w:t>
      </w:r>
      <w:r w:rsidRPr="00C57832">
        <w:rPr>
          <w:b/>
          <w:snapToGrid w:val="0"/>
          <w:lang w:val="fr-BE" w:eastAsia="nl-NL"/>
        </w:rPr>
        <w:t>gestion de la sécurité</w:t>
      </w:r>
      <w:r w:rsidRPr="00C57832">
        <w:rPr>
          <w:snapToGrid w:val="0"/>
          <w:lang w:val="fr-BE" w:eastAsia="nl-NL"/>
        </w:rPr>
        <w:t xml:space="preserve"> qui sera utilisé dans le cadre de ce Marché</w:t>
      </w:r>
      <w:r w:rsidR="009F7F66" w:rsidRPr="00C57832">
        <w:rPr>
          <w:snapToGrid w:val="0"/>
          <w:lang w:val="fr-BE" w:eastAsia="nl-NL"/>
        </w:rPr>
        <w:t xml:space="preserve">. </w:t>
      </w:r>
      <w:r w:rsidR="00A1504D" w:rsidRPr="00C57832">
        <w:rPr>
          <w:snapToGrid w:val="0"/>
          <w:lang w:val="fr-BE" w:eastAsia="nl-NL"/>
        </w:rPr>
        <w:t>Le soumissionnaire</w:t>
      </w:r>
      <w:r w:rsidR="008843FF" w:rsidRPr="00C57832">
        <w:rPr>
          <w:snapToGrid w:val="0"/>
          <w:lang w:val="fr-BE" w:eastAsia="nl-NL"/>
        </w:rPr>
        <w:t xml:space="preserve"> le</w:t>
      </w:r>
      <w:r w:rsidR="00A1504D" w:rsidRPr="00C57832">
        <w:rPr>
          <w:snapToGrid w:val="0"/>
          <w:lang w:val="fr-BE" w:eastAsia="nl-NL"/>
        </w:rPr>
        <w:t xml:space="preserve"> démontre </w:t>
      </w:r>
      <w:r w:rsidR="008843FF" w:rsidRPr="00C57832">
        <w:rPr>
          <w:snapToGrid w:val="0"/>
          <w:lang w:val="fr-BE" w:eastAsia="nl-NL"/>
        </w:rPr>
        <w:t>au moyen de :</w:t>
      </w:r>
    </w:p>
    <w:p w14:paraId="38C24B5B" w14:textId="721C2E40" w:rsidR="008843FF" w:rsidRPr="00C57832" w:rsidRDefault="008843FF" w:rsidP="00BB166A">
      <w:pPr>
        <w:pStyle w:val="Listepuces"/>
        <w:numPr>
          <w:ilvl w:val="0"/>
          <w:numId w:val="11"/>
        </w:numPr>
        <w:tabs>
          <w:tab w:val="num" w:pos="1525"/>
        </w:tabs>
        <w:ind w:left="881"/>
        <w:rPr>
          <w:rFonts w:eastAsia="Times New Roman"/>
          <w:lang w:val="fr-BE" w:eastAsia="nl-NL"/>
        </w:rPr>
      </w:pPr>
      <w:r w:rsidRPr="00C57832">
        <w:rPr>
          <w:rFonts w:eastAsia="Times New Roman"/>
          <w:lang w:val="fr-BE" w:eastAsia="nl-NL"/>
        </w:rPr>
        <w:t>Une description des mesures prises envers le personnel afin de respecter le Règlement Général pour la Protection du Travail (RGPT) ou tout autre texte de loi concernant la santé, la sécurité et le bien-être du personnel dans le cadre de l’exécution du Marché (le cas échéant aussi pour la station de transfert).</w:t>
      </w:r>
    </w:p>
    <w:p w14:paraId="162F29E6" w14:textId="1A956C2C" w:rsidR="00BB370D" w:rsidRPr="00C57832" w:rsidRDefault="00C5480E" w:rsidP="00BB166A">
      <w:pPr>
        <w:pStyle w:val="Listepuces"/>
        <w:numPr>
          <w:ilvl w:val="0"/>
          <w:numId w:val="22"/>
        </w:numPr>
        <w:rPr>
          <w:snapToGrid w:val="0"/>
          <w:lang w:val="fr-BE" w:eastAsia="nl-NL"/>
        </w:rPr>
      </w:pPr>
      <w:r w:rsidRPr="00C57832">
        <w:rPr>
          <w:snapToGrid w:val="0"/>
          <w:lang w:val="fr-BE" w:eastAsia="nl-NL"/>
        </w:rPr>
        <w:t xml:space="preserve">Une description du </w:t>
      </w:r>
      <w:r w:rsidRPr="00C57832">
        <w:rPr>
          <w:b/>
          <w:snapToGrid w:val="0"/>
          <w:lang w:val="fr-BE" w:eastAsia="nl-NL"/>
        </w:rPr>
        <w:t xml:space="preserve">système de gestion </w:t>
      </w:r>
      <w:r w:rsidR="00E676CC" w:rsidRPr="00C57832">
        <w:rPr>
          <w:b/>
          <w:snapToGrid w:val="0"/>
          <w:lang w:val="fr-BE" w:eastAsia="nl-NL"/>
        </w:rPr>
        <w:t>environnementale</w:t>
      </w:r>
      <w:r w:rsidRPr="00C57832">
        <w:rPr>
          <w:snapToGrid w:val="0"/>
          <w:lang w:val="fr-BE" w:eastAsia="nl-NL"/>
        </w:rPr>
        <w:t xml:space="preserve"> </w:t>
      </w:r>
      <w:r w:rsidR="009E0223" w:rsidRPr="00C57832">
        <w:rPr>
          <w:szCs w:val="18"/>
          <w:lang w:val="fr-BE"/>
        </w:rPr>
        <w:t>qui gère et améliore les performances environnementales du processus qui sera</w:t>
      </w:r>
      <w:r w:rsidRPr="00C57832">
        <w:rPr>
          <w:snapToGrid w:val="0"/>
          <w:lang w:val="fr-BE" w:eastAsia="nl-NL"/>
        </w:rPr>
        <w:t xml:space="preserve"> utilisé </w:t>
      </w:r>
      <w:r w:rsidR="00770BDB" w:rsidRPr="00C57832">
        <w:rPr>
          <w:snapToGrid w:val="0"/>
          <w:lang w:val="fr-BE" w:eastAsia="nl-NL"/>
        </w:rPr>
        <w:t>dans le cadre</w:t>
      </w:r>
      <w:r w:rsidRPr="00C57832">
        <w:rPr>
          <w:snapToGrid w:val="0"/>
          <w:lang w:val="fr-BE" w:eastAsia="nl-NL"/>
        </w:rPr>
        <w:t xml:space="preserve"> de ce Marché et</w:t>
      </w:r>
      <w:r w:rsidR="009E0223" w:rsidRPr="00C57832">
        <w:rPr>
          <w:szCs w:val="18"/>
          <w:lang w:val="fr-BE"/>
        </w:rPr>
        <w:t>, plus spécifiquement, qui gère et limite les flux de déchets, les émissions et la consommation d’énergie et d’eau</w:t>
      </w:r>
      <w:r w:rsidR="00BB370D" w:rsidRPr="00C57832">
        <w:rPr>
          <w:snapToGrid w:val="0"/>
          <w:lang w:val="fr-BE" w:eastAsia="nl-NL"/>
        </w:rPr>
        <w:t xml:space="preserve">. </w:t>
      </w:r>
      <w:r w:rsidR="00770BDB" w:rsidRPr="00C57832">
        <w:rPr>
          <w:snapToGrid w:val="0"/>
          <w:lang w:val="fr-BE" w:eastAsia="nl-NL"/>
        </w:rPr>
        <w:t>Le soumissionnaire</w:t>
      </w:r>
      <w:r w:rsidR="008843FF" w:rsidRPr="00C57832">
        <w:rPr>
          <w:snapToGrid w:val="0"/>
          <w:lang w:val="fr-BE" w:eastAsia="nl-NL"/>
        </w:rPr>
        <w:t xml:space="preserve"> le</w:t>
      </w:r>
      <w:r w:rsidR="00770BDB" w:rsidRPr="00C57832">
        <w:rPr>
          <w:snapToGrid w:val="0"/>
          <w:lang w:val="fr-BE" w:eastAsia="nl-NL"/>
        </w:rPr>
        <w:t xml:space="preserve"> démontre </w:t>
      </w:r>
      <w:r w:rsidR="008843FF" w:rsidRPr="00C57832">
        <w:rPr>
          <w:snapToGrid w:val="0"/>
          <w:lang w:val="fr-BE" w:eastAsia="nl-NL"/>
        </w:rPr>
        <w:t>au moyen de :</w:t>
      </w:r>
    </w:p>
    <w:p w14:paraId="56B79F12" w14:textId="70E8B248" w:rsidR="008843FF" w:rsidRPr="00C57832" w:rsidRDefault="008843FF" w:rsidP="00BB166A">
      <w:pPr>
        <w:pStyle w:val="Listepuces"/>
        <w:numPr>
          <w:ilvl w:val="0"/>
          <w:numId w:val="11"/>
        </w:numPr>
        <w:tabs>
          <w:tab w:val="num" w:pos="1525"/>
        </w:tabs>
        <w:ind w:left="881"/>
        <w:rPr>
          <w:rFonts w:eastAsia="Times New Roman"/>
          <w:lang w:val="fr-BE" w:eastAsia="nl-NL"/>
        </w:rPr>
      </w:pPr>
      <w:r w:rsidRPr="00C57832">
        <w:rPr>
          <w:rFonts w:eastAsia="Times New Roman"/>
          <w:lang w:val="fr-BE" w:eastAsia="nl-NL"/>
        </w:rPr>
        <w:t>Une description des mesures que le soumissionnaire s’engage à prendre en faveur de l’environnement (véhicules de collecte respectant certaines normes environnementales, économie ou utilisation rationnelle de l’énergie</w:t>
      </w:r>
      <w:r w:rsidR="009E0223" w:rsidRPr="00C57832">
        <w:rPr>
          <w:rFonts w:eastAsia="Times New Roman"/>
          <w:lang w:val="fr-BE" w:eastAsia="nl-NL"/>
        </w:rPr>
        <w:t xml:space="preserve"> et/ou de l’eau</w:t>
      </w:r>
      <w:r w:rsidRPr="00C57832">
        <w:rPr>
          <w:rFonts w:eastAsia="Times New Roman"/>
          <w:lang w:val="fr-BE" w:eastAsia="nl-NL"/>
        </w:rPr>
        <w:t>, carburant</w:t>
      </w:r>
      <w:r w:rsidR="009E0223" w:rsidRPr="00C57832">
        <w:rPr>
          <w:rFonts w:eastAsia="Times New Roman"/>
          <w:lang w:val="fr-BE" w:eastAsia="nl-NL"/>
        </w:rPr>
        <w:t>s</w:t>
      </w:r>
      <w:r w:rsidRPr="00C57832">
        <w:rPr>
          <w:rFonts w:eastAsia="Times New Roman"/>
          <w:lang w:val="fr-BE" w:eastAsia="nl-NL"/>
        </w:rPr>
        <w:t xml:space="preserve"> </w:t>
      </w:r>
      <w:r w:rsidR="00546783" w:rsidRPr="00C57832">
        <w:rPr>
          <w:rFonts w:eastAsia="Times New Roman"/>
          <w:lang w:val="fr-BE" w:eastAsia="nl-NL"/>
        </w:rPr>
        <w:t>alternatifs, …</w:t>
      </w:r>
      <w:r w:rsidRPr="00C57832">
        <w:rPr>
          <w:rFonts w:eastAsia="Times New Roman"/>
          <w:lang w:val="fr-BE" w:eastAsia="nl-NL"/>
        </w:rPr>
        <w:t>) (le cas échéant aussi pour la station de transfert).</w:t>
      </w:r>
    </w:p>
    <w:p w14:paraId="2A263B25" w14:textId="7B19AB21" w:rsidR="00120DED" w:rsidRPr="00C57832" w:rsidRDefault="00120DED" w:rsidP="00BB166A">
      <w:pPr>
        <w:pStyle w:val="Titre3"/>
        <w:numPr>
          <w:ilvl w:val="2"/>
          <w:numId w:val="24"/>
        </w:numPr>
        <w:spacing w:after="100" w:afterAutospacing="1"/>
        <w:rPr>
          <w:rFonts w:eastAsia="Times New Roman"/>
          <w:lang w:val="fr-BE" w:eastAsia="nl-NL"/>
        </w:rPr>
      </w:pPr>
      <w:r w:rsidRPr="00C57832">
        <w:rPr>
          <w:lang w:val="fr-BE" w:eastAsia="nl-NL"/>
        </w:rPr>
        <w:t>Autres</w:t>
      </w:r>
      <w:r w:rsidRPr="00C57832">
        <w:rPr>
          <w:rFonts w:eastAsia="Times New Roman"/>
          <w:lang w:val="fr-BE" w:eastAsia="nl-NL"/>
        </w:rPr>
        <w:t xml:space="preserve"> documents / </w:t>
      </w:r>
      <w:r w:rsidR="00C951FC" w:rsidRPr="00C57832">
        <w:rPr>
          <w:rFonts w:eastAsia="Times New Roman"/>
          <w:lang w:val="fr-BE" w:eastAsia="nl-NL"/>
        </w:rPr>
        <w:t>informations :</w:t>
      </w:r>
    </w:p>
    <w:p w14:paraId="5C9AA981" w14:textId="5B6CCD31" w:rsidR="00120DED" w:rsidRPr="00C57832" w:rsidRDefault="00120DED" w:rsidP="00BB166A">
      <w:pPr>
        <w:pStyle w:val="Listepuces"/>
        <w:numPr>
          <w:ilvl w:val="0"/>
          <w:numId w:val="30"/>
        </w:numPr>
        <w:ind w:left="426" w:hanging="426"/>
        <w:rPr>
          <w:rFonts w:eastAsia="Times New Roman"/>
          <w:lang w:val="fr-BE" w:eastAsia="nl-NL"/>
        </w:rPr>
      </w:pPr>
      <w:r w:rsidRPr="00C57832">
        <w:rPr>
          <w:rFonts w:eastAsia="Times New Roman"/>
          <w:lang w:val="fr-BE" w:eastAsia="nl-NL"/>
        </w:rPr>
        <w:t>Une copie des polices d’assurance nécessaires (voir article 10</w:t>
      </w:r>
      <w:r w:rsidR="00BD4715" w:rsidRPr="00C57832">
        <w:rPr>
          <w:rFonts w:eastAsia="Times New Roman"/>
          <w:lang w:val="fr-BE" w:eastAsia="nl-NL"/>
        </w:rPr>
        <w:t>) ;</w:t>
      </w:r>
    </w:p>
    <w:p w14:paraId="5D36942D" w14:textId="77777777" w:rsidR="00364443" w:rsidRDefault="00364443" w:rsidP="00CC5044">
      <w:pPr>
        <w:spacing w:after="0"/>
        <w:rPr>
          <w:lang w:val="fr-BE"/>
        </w:rPr>
      </w:pPr>
    </w:p>
    <w:p w14:paraId="2125A657" w14:textId="5BC2DA1E" w:rsidR="00451860" w:rsidRPr="00C57832" w:rsidRDefault="006B4934" w:rsidP="00CC5044">
      <w:pPr>
        <w:spacing w:after="0"/>
        <w:rPr>
          <w:lang w:val="fr-BE"/>
        </w:rPr>
      </w:pPr>
      <w:r w:rsidRPr="00C57832">
        <w:rPr>
          <w:lang w:val="fr-BE"/>
        </w:rPr>
        <w:t xml:space="preserve">En cours d'exécution du </w:t>
      </w:r>
      <w:r w:rsidR="005E5746" w:rsidRPr="00C57832">
        <w:rPr>
          <w:lang w:val="fr-BE"/>
        </w:rPr>
        <w:t>Marché</w:t>
      </w:r>
      <w:r w:rsidRPr="00C57832">
        <w:rPr>
          <w:lang w:val="fr-BE"/>
        </w:rPr>
        <w:t>, le prestataire de services est tenu d'informer le pouvoir adjudicateur, sans délai, de toute modification des documents susmentionnés.</w:t>
      </w:r>
    </w:p>
    <w:p w14:paraId="36F0C4B8" w14:textId="2E99A64A" w:rsidR="00CA5CB3" w:rsidRPr="00364443" w:rsidRDefault="00CA5CB3" w:rsidP="00BB166A">
      <w:pPr>
        <w:pStyle w:val="Titre3"/>
        <w:numPr>
          <w:ilvl w:val="1"/>
          <w:numId w:val="24"/>
        </w:numPr>
        <w:spacing w:after="100" w:afterAutospacing="1"/>
        <w:rPr>
          <w:sz w:val="24"/>
          <w:szCs w:val="24"/>
          <w:lang w:val="fr-BE" w:eastAsia="nl-NL"/>
        </w:rPr>
      </w:pPr>
      <w:r w:rsidRPr="00364443">
        <w:rPr>
          <w:sz w:val="24"/>
          <w:szCs w:val="24"/>
          <w:lang w:val="fr-BE" w:eastAsia="nl-NL"/>
        </w:rPr>
        <w:t xml:space="preserve">Signature de l’offre </w:t>
      </w:r>
    </w:p>
    <w:p w14:paraId="324AE586" w14:textId="4EEF8586" w:rsidR="009E04C8" w:rsidRPr="00364443" w:rsidRDefault="009E04C8" w:rsidP="009E04C8">
      <w:pPr>
        <w:rPr>
          <w:lang w:val="fr-BE"/>
        </w:rPr>
      </w:pPr>
      <w:r w:rsidRPr="00364443">
        <w:rPr>
          <w:lang w:val="fr-BE"/>
        </w:rPr>
        <w:t xml:space="preserve">§1. </w:t>
      </w:r>
      <w:r w:rsidR="00C409F6" w:rsidRPr="00364443">
        <w:rPr>
          <w:lang w:val="fr-BE"/>
        </w:rPr>
        <w:t>L’offre électronique doit être valablement signée par le soumissionnaire</w:t>
      </w:r>
      <w:r w:rsidRPr="00364443">
        <w:rPr>
          <w:lang w:val="fr-BE"/>
        </w:rPr>
        <w:t xml:space="preserve"> o</w:t>
      </w:r>
      <w:r w:rsidR="00AA274B" w:rsidRPr="00364443">
        <w:rPr>
          <w:lang w:val="fr-BE"/>
        </w:rPr>
        <w:t xml:space="preserve">u </w:t>
      </w:r>
      <w:r w:rsidR="0023583E" w:rsidRPr="00364443">
        <w:rPr>
          <w:lang w:val="fr-BE"/>
        </w:rPr>
        <w:t>son</w:t>
      </w:r>
      <w:r w:rsidR="009E35A9" w:rsidRPr="00364443">
        <w:rPr>
          <w:lang w:val="fr-BE"/>
        </w:rPr>
        <w:t xml:space="preserve"> </w:t>
      </w:r>
      <w:r w:rsidR="00217845" w:rsidRPr="00364443">
        <w:rPr>
          <w:lang w:val="fr-BE"/>
        </w:rPr>
        <w:t>mand</w:t>
      </w:r>
      <w:r w:rsidR="009E35A9" w:rsidRPr="00364443">
        <w:rPr>
          <w:lang w:val="fr-BE"/>
        </w:rPr>
        <w:t>at</w:t>
      </w:r>
      <w:r w:rsidR="0023583E" w:rsidRPr="00364443">
        <w:rPr>
          <w:lang w:val="fr-BE"/>
        </w:rPr>
        <w:t>air</w:t>
      </w:r>
      <w:r w:rsidR="009E35A9" w:rsidRPr="00364443">
        <w:rPr>
          <w:lang w:val="fr-BE"/>
        </w:rPr>
        <w:t>e</w:t>
      </w:r>
      <w:r w:rsidRPr="00364443">
        <w:rPr>
          <w:lang w:val="fr-BE"/>
        </w:rPr>
        <w:t xml:space="preserve">. </w:t>
      </w:r>
    </w:p>
    <w:p w14:paraId="71A4E6FC" w14:textId="77777777" w:rsidR="00CA5CB3" w:rsidRPr="00364443" w:rsidRDefault="00CA5CB3" w:rsidP="00CA5CB3">
      <w:pPr>
        <w:spacing w:after="0" w:line="240" w:lineRule="auto"/>
        <w:rPr>
          <w:strike/>
          <w:lang w:val="fr-BE"/>
        </w:rPr>
      </w:pPr>
    </w:p>
    <w:p w14:paraId="3EA44DFA" w14:textId="7C7994FC" w:rsidR="009E04C8" w:rsidRPr="00364443" w:rsidRDefault="00CA5CB3" w:rsidP="00CF386E">
      <w:pPr>
        <w:rPr>
          <w:strike/>
          <w:lang w:val="fr-BE"/>
        </w:rPr>
      </w:pPr>
      <w:r w:rsidRPr="00364443">
        <w:rPr>
          <w:lang w:val="fr-BE"/>
        </w:rPr>
        <w:t>Il faut tenir compte ici du fait que la signature d’une offre n’est pas un</w:t>
      </w:r>
      <w:r w:rsidR="00E96C6A" w:rsidRPr="00364443">
        <w:rPr>
          <w:lang w:val="fr-BE"/>
        </w:rPr>
        <w:t xml:space="preserve"> acte de « gestion journalière »</w:t>
      </w:r>
      <w:r w:rsidRPr="00364443">
        <w:rPr>
          <w:lang w:val="fr-BE"/>
        </w:rPr>
        <w:t xml:space="preserve">. </w:t>
      </w:r>
    </w:p>
    <w:p w14:paraId="34F0C0BD" w14:textId="230C9F7A" w:rsidR="009E04C8" w:rsidRPr="00364443" w:rsidRDefault="009E35A9" w:rsidP="009E04C8">
      <w:pPr>
        <w:rPr>
          <w:lang w:val="fr-BE"/>
        </w:rPr>
      </w:pPr>
      <w:r w:rsidRPr="00364443">
        <w:rPr>
          <w:lang w:val="fr-BE"/>
        </w:rPr>
        <w:t xml:space="preserve">Lors d’une introduction électronique des offres, le </w:t>
      </w:r>
      <w:r w:rsidR="009E04C8" w:rsidRPr="00364443">
        <w:rPr>
          <w:lang w:val="fr-BE"/>
        </w:rPr>
        <w:t xml:space="preserve">rapport </w:t>
      </w:r>
      <w:r w:rsidRPr="00364443">
        <w:rPr>
          <w:lang w:val="fr-BE"/>
        </w:rPr>
        <w:t xml:space="preserve">de dépôt </w:t>
      </w:r>
      <w:r w:rsidR="0023583E" w:rsidRPr="00364443">
        <w:rPr>
          <w:lang w:val="fr-BE"/>
        </w:rPr>
        <w:t>doit être revêtu d'une signature électronique qualifiée</w:t>
      </w:r>
      <w:r w:rsidR="009E04C8" w:rsidRPr="00364443">
        <w:rPr>
          <w:lang w:val="fr-BE"/>
        </w:rPr>
        <w:t xml:space="preserve">. </w:t>
      </w:r>
      <w:r w:rsidR="00B61E76" w:rsidRPr="00364443">
        <w:rPr>
          <w:bCs/>
          <w:lang w:val="fr-BE"/>
        </w:rPr>
        <w:t xml:space="preserve">Il ne faut </w:t>
      </w:r>
      <w:r w:rsidR="00003469" w:rsidRPr="00364443">
        <w:rPr>
          <w:bCs/>
          <w:lang w:val="fr-BE"/>
        </w:rPr>
        <w:t>pas signer individuellement l'offre, ses annexes et le DUME, lorsque ce dernier doit être présenté, au moment où ces derniers sont chargés sur la plateforme électronique. Ces documents sont signés de manière globale par l'apposition d'une signature sur le rapport de dépôt y afférent.</w:t>
      </w:r>
    </w:p>
    <w:p w14:paraId="131ED281" w14:textId="52047454" w:rsidR="009E04C8" w:rsidRPr="00364443" w:rsidRDefault="009E04C8" w:rsidP="009E04C8">
      <w:pPr>
        <w:rPr>
          <w:lang w:val="fr-BE"/>
        </w:rPr>
      </w:pPr>
      <w:r w:rsidRPr="00364443">
        <w:rPr>
          <w:lang w:val="fr-BE"/>
        </w:rPr>
        <w:t xml:space="preserve">§2. </w:t>
      </w:r>
      <w:r w:rsidR="0023583E" w:rsidRPr="00364443">
        <w:rPr>
          <w:lang w:val="fr-BE"/>
        </w:rPr>
        <w:t>Lorsque le rapport de dépôt est signé par un mandataire, celui-ci mentionne clairement son (ses) mandant(s)</w:t>
      </w:r>
      <w:r w:rsidRPr="00364443">
        <w:rPr>
          <w:lang w:val="fr-BE"/>
        </w:rPr>
        <w:t xml:space="preserve">. </w:t>
      </w:r>
    </w:p>
    <w:p w14:paraId="2B8F214F" w14:textId="2CFE9C51" w:rsidR="00F849C6" w:rsidRPr="00364443" w:rsidRDefault="00F849C6" w:rsidP="00F849C6">
      <w:pPr>
        <w:rPr>
          <w:lang w:val="fr-BE"/>
        </w:rPr>
      </w:pPr>
      <w:r w:rsidRPr="00364443">
        <w:rPr>
          <w:lang w:val="fr-BE"/>
        </w:rPr>
        <w:t>Le mandataire joint l'acte électronique authentique ou sous seing privé qui lui accorde ses pouvoirs ou une copie scannée de la procuration.</w:t>
      </w:r>
    </w:p>
    <w:p w14:paraId="74D0D10D" w14:textId="6D8FA8D7" w:rsidR="00451860" w:rsidRPr="00C57832" w:rsidRDefault="00C4780B" w:rsidP="009E04C8">
      <w:pPr>
        <w:spacing w:after="0" w:line="240" w:lineRule="auto"/>
        <w:rPr>
          <w:lang w:val="fr-BE"/>
        </w:rPr>
      </w:pPr>
      <w:r w:rsidRPr="00364443">
        <w:rPr>
          <w:lang w:val="fr-BE"/>
        </w:rPr>
        <w:t>Une copie est jointe à</w:t>
      </w:r>
      <w:r w:rsidR="009E04C8" w:rsidRPr="00364443">
        <w:rPr>
          <w:lang w:val="fr-BE"/>
        </w:rPr>
        <w:t xml:space="preserve"> </w:t>
      </w:r>
      <w:r w:rsidR="009557D8" w:rsidRPr="00364443">
        <w:rPr>
          <w:lang w:val="fr-BE"/>
        </w:rPr>
        <w:t>l’offre</w:t>
      </w:r>
      <w:r w:rsidR="009E04C8" w:rsidRPr="00364443">
        <w:rPr>
          <w:lang w:val="fr-BE"/>
        </w:rPr>
        <w:t xml:space="preserve"> </w:t>
      </w:r>
      <w:r w:rsidR="009B7984" w:rsidRPr="00364443">
        <w:rPr>
          <w:lang w:val="fr-BE"/>
        </w:rPr>
        <w:t>des</w:t>
      </w:r>
      <w:r w:rsidR="009E04C8" w:rsidRPr="00364443">
        <w:rPr>
          <w:lang w:val="fr-BE"/>
        </w:rPr>
        <w:t xml:space="preserve"> statut</w:t>
      </w:r>
      <w:r w:rsidRPr="00364443">
        <w:rPr>
          <w:lang w:val="fr-BE"/>
        </w:rPr>
        <w:t xml:space="preserve">s </w:t>
      </w:r>
      <w:r w:rsidR="009E04C8" w:rsidRPr="00364443">
        <w:rPr>
          <w:lang w:val="fr-BE"/>
        </w:rPr>
        <w:t>e</w:t>
      </w:r>
      <w:r w:rsidR="009B7984" w:rsidRPr="00364443">
        <w:rPr>
          <w:lang w:val="fr-BE"/>
        </w:rPr>
        <w:t xml:space="preserve">t </w:t>
      </w:r>
      <w:r w:rsidR="004453B2" w:rsidRPr="00364443">
        <w:rPr>
          <w:lang w:val="fr-BE"/>
        </w:rPr>
        <w:t>arrêtés de nomination les plus récents</w:t>
      </w:r>
      <w:r w:rsidR="009E04C8" w:rsidRPr="00364443">
        <w:rPr>
          <w:lang w:val="fr-BE"/>
        </w:rPr>
        <w:t>, publi</w:t>
      </w:r>
      <w:r w:rsidR="004453B2" w:rsidRPr="00364443">
        <w:rPr>
          <w:lang w:val="fr-BE"/>
        </w:rPr>
        <w:t>és</w:t>
      </w:r>
      <w:r w:rsidR="009E04C8" w:rsidRPr="00364443">
        <w:rPr>
          <w:lang w:val="fr-BE"/>
        </w:rPr>
        <w:t xml:space="preserve"> </w:t>
      </w:r>
      <w:r w:rsidR="009B7984" w:rsidRPr="00364443">
        <w:rPr>
          <w:lang w:val="fr-BE"/>
        </w:rPr>
        <w:t>au Moniteur belge</w:t>
      </w:r>
      <w:r w:rsidR="009E04C8" w:rsidRPr="00364443">
        <w:rPr>
          <w:lang w:val="fr-BE"/>
        </w:rPr>
        <w:t xml:space="preserve"> (</w:t>
      </w:r>
      <w:r w:rsidR="004453B2" w:rsidRPr="00364443">
        <w:rPr>
          <w:lang w:val="fr-BE"/>
        </w:rPr>
        <w:t>ou dans une</w:t>
      </w:r>
      <w:r w:rsidR="009E04C8" w:rsidRPr="00364443">
        <w:rPr>
          <w:lang w:val="fr-BE"/>
        </w:rPr>
        <w:t xml:space="preserve"> publicati</w:t>
      </w:r>
      <w:r w:rsidR="004453B2" w:rsidRPr="00364443">
        <w:rPr>
          <w:lang w:val="fr-BE"/>
        </w:rPr>
        <w:t>on européenne équivalente</w:t>
      </w:r>
      <w:r w:rsidR="009E04C8" w:rsidRPr="00364443">
        <w:rPr>
          <w:lang w:val="fr-BE"/>
        </w:rPr>
        <w:t xml:space="preserve">), </w:t>
      </w:r>
      <w:r w:rsidR="0081044E" w:rsidRPr="00364443">
        <w:rPr>
          <w:lang w:val="fr-BE"/>
        </w:rPr>
        <w:t>attestant des pouvoirs du (des) signataire(</w:t>
      </w:r>
      <w:r w:rsidR="009E04C8" w:rsidRPr="00364443">
        <w:rPr>
          <w:lang w:val="fr-BE"/>
        </w:rPr>
        <w:t xml:space="preserve">s) </w:t>
      </w:r>
      <w:r w:rsidR="00E370F6" w:rsidRPr="00364443">
        <w:rPr>
          <w:lang w:val="fr-BE"/>
        </w:rPr>
        <w:t>du</w:t>
      </w:r>
      <w:r w:rsidR="009E04C8" w:rsidRPr="00364443">
        <w:rPr>
          <w:lang w:val="fr-BE"/>
        </w:rPr>
        <w:t xml:space="preserve"> </w:t>
      </w:r>
      <w:r w:rsidR="001175C0" w:rsidRPr="00364443">
        <w:rPr>
          <w:lang w:val="fr-BE"/>
        </w:rPr>
        <w:t>soumissionnaire</w:t>
      </w:r>
      <w:r w:rsidR="009E04C8" w:rsidRPr="00364443">
        <w:rPr>
          <w:lang w:val="fr-BE"/>
        </w:rPr>
        <w:t xml:space="preserve"> e</w:t>
      </w:r>
      <w:r w:rsidR="007B5A47" w:rsidRPr="00364443">
        <w:rPr>
          <w:lang w:val="fr-BE"/>
        </w:rPr>
        <w:t xml:space="preserve">t de tous les membres </w:t>
      </w:r>
      <w:r w:rsidR="009C0A58" w:rsidRPr="00364443">
        <w:rPr>
          <w:lang w:val="fr-BE"/>
        </w:rPr>
        <w:t>du consortium d’entreprises</w:t>
      </w:r>
      <w:r w:rsidR="000D50CE" w:rsidRPr="00364443">
        <w:rPr>
          <w:lang w:val="fr-BE"/>
        </w:rPr>
        <w:t xml:space="preserve"> </w:t>
      </w:r>
      <w:r w:rsidR="009E04C8" w:rsidRPr="00364443">
        <w:rPr>
          <w:lang w:val="fr-BE"/>
        </w:rPr>
        <w:t xml:space="preserve">/ </w:t>
      </w:r>
      <w:r w:rsidR="000D50CE" w:rsidRPr="00364443">
        <w:rPr>
          <w:lang w:val="fr-BE"/>
        </w:rPr>
        <w:t>du partenaria</w:t>
      </w:r>
      <w:r w:rsidR="00F9287B" w:rsidRPr="00364443">
        <w:rPr>
          <w:lang w:val="fr-BE"/>
        </w:rPr>
        <w:t>t</w:t>
      </w:r>
      <w:r w:rsidR="009E04C8" w:rsidRPr="00364443">
        <w:rPr>
          <w:lang w:val="fr-BE"/>
        </w:rPr>
        <w:t xml:space="preserve">. </w:t>
      </w:r>
      <w:r w:rsidR="00275CE8" w:rsidRPr="00364443">
        <w:rPr>
          <w:lang w:val="fr-BE"/>
        </w:rPr>
        <w:t>Est accept</w:t>
      </w:r>
      <w:r w:rsidR="00DB0F09" w:rsidRPr="00364443">
        <w:rPr>
          <w:lang w:val="fr-BE"/>
        </w:rPr>
        <w:t xml:space="preserve">able </w:t>
      </w:r>
      <w:r w:rsidR="00275CE8" w:rsidRPr="00364443">
        <w:rPr>
          <w:lang w:val="fr-BE"/>
        </w:rPr>
        <w:t xml:space="preserve">comme </w:t>
      </w:r>
      <w:r w:rsidR="009E04C8" w:rsidRPr="00364443">
        <w:rPr>
          <w:lang w:val="fr-BE"/>
        </w:rPr>
        <w:t>alternati</w:t>
      </w:r>
      <w:r w:rsidR="00275CE8" w:rsidRPr="00364443">
        <w:rPr>
          <w:lang w:val="fr-BE"/>
        </w:rPr>
        <w:t>v</w:t>
      </w:r>
      <w:r w:rsidR="009E04C8" w:rsidRPr="00364443">
        <w:rPr>
          <w:lang w:val="fr-BE"/>
        </w:rPr>
        <w:t>e</w:t>
      </w:r>
      <w:r w:rsidR="00DB0F09" w:rsidRPr="00364443">
        <w:rPr>
          <w:lang w:val="fr-BE"/>
        </w:rPr>
        <w:t xml:space="preserve">, la </w:t>
      </w:r>
      <w:r w:rsidR="00A528CE" w:rsidRPr="00364443">
        <w:rPr>
          <w:lang w:val="fr-BE"/>
        </w:rPr>
        <w:t xml:space="preserve">référence au numéro de l'annexe du Moniteur belge qui </w:t>
      </w:r>
      <w:r w:rsidR="004C0C03" w:rsidRPr="00364443">
        <w:rPr>
          <w:lang w:val="fr-BE"/>
        </w:rPr>
        <w:t>lui accorde ses pouvoirs</w:t>
      </w:r>
      <w:r w:rsidR="009E04C8" w:rsidRPr="00364443">
        <w:rPr>
          <w:lang w:val="fr-BE"/>
        </w:rPr>
        <w:t xml:space="preserve">. </w:t>
      </w:r>
      <w:r w:rsidR="009E04C8" w:rsidRPr="008C01FC">
        <w:rPr>
          <w:lang w:val="fr-BE"/>
        </w:rPr>
        <w:t xml:space="preserve">   </w:t>
      </w:r>
      <w:r w:rsidR="00451860" w:rsidRPr="00C57832">
        <w:rPr>
          <w:lang w:val="fr-BE"/>
        </w:rPr>
        <w:br w:type="page"/>
      </w:r>
    </w:p>
    <w:p w14:paraId="1B424E18" w14:textId="3C6B20A9" w:rsidR="00451860" w:rsidRPr="00C57832" w:rsidRDefault="00451860" w:rsidP="00CC5044">
      <w:pPr>
        <w:spacing w:after="0"/>
        <w:rPr>
          <w:lang w:val="fr-BE"/>
        </w:rPr>
      </w:pPr>
    </w:p>
    <w:p w14:paraId="397C7DF1" w14:textId="68B6006E" w:rsidR="006B4934" w:rsidRPr="00031F54" w:rsidRDefault="006B4934" w:rsidP="00BB166A">
      <w:pPr>
        <w:pStyle w:val="Titre3"/>
        <w:numPr>
          <w:ilvl w:val="0"/>
          <w:numId w:val="24"/>
        </w:numPr>
        <w:spacing w:after="100" w:afterAutospacing="1"/>
        <w:rPr>
          <w:b/>
          <w:iCs/>
          <w:sz w:val="24"/>
          <w:szCs w:val="28"/>
          <w:lang w:val="fr-BE" w:eastAsia="nl-NL"/>
        </w:rPr>
      </w:pPr>
      <w:bookmarkStart w:id="50" w:name="_Toc200945501"/>
      <w:bookmarkStart w:id="51" w:name="_Toc201025134"/>
      <w:bookmarkStart w:id="52" w:name="_Toc201587439"/>
      <w:bookmarkStart w:id="53" w:name="_Toc513197740"/>
      <w:r w:rsidRPr="00031F54">
        <w:rPr>
          <w:b/>
          <w:iCs/>
          <w:sz w:val="24"/>
          <w:szCs w:val="28"/>
          <w:lang w:val="fr-BE" w:eastAsia="nl-NL"/>
        </w:rPr>
        <w:t>Variantes</w:t>
      </w:r>
      <w:bookmarkEnd w:id="50"/>
      <w:bookmarkEnd w:id="51"/>
      <w:bookmarkEnd w:id="52"/>
      <w:r w:rsidR="004F4FB3" w:rsidRPr="00031F54">
        <w:rPr>
          <w:b/>
          <w:iCs/>
          <w:sz w:val="24"/>
          <w:szCs w:val="28"/>
          <w:lang w:val="fr-BE" w:eastAsia="nl-NL"/>
        </w:rPr>
        <w:t xml:space="preserve"> </w:t>
      </w:r>
      <w:r w:rsidR="00CA5CB3" w:rsidRPr="00031F54">
        <w:rPr>
          <w:b/>
          <w:iCs/>
          <w:sz w:val="24"/>
          <w:szCs w:val="28"/>
          <w:lang w:val="fr-BE" w:eastAsia="nl-NL"/>
        </w:rPr>
        <w:t>(art. 56 de la Loi relative aux marchés publics et art. 54 de l’AR Passation)</w:t>
      </w:r>
      <w:bookmarkEnd w:id="53"/>
    </w:p>
    <w:p w14:paraId="0FBEED06" w14:textId="2FA10AD0" w:rsidR="00EF4414" w:rsidRPr="00C57832" w:rsidRDefault="00EF4414" w:rsidP="00EF4414">
      <w:pPr>
        <w:spacing w:before="240"/>
        <w:rPr>
          <w:rFonts w:eastAsia="Times New Roman"/>
          <w:i/>
          <w:lang w:val="fr-BE" w:eastAsia="nl-NL"/>
        </w:rPr>
      </w:pPr>
      <w:r w:rsidRPr="00364443">
        <w:rPr>
          <w:rFonts w:eastAsia="Times New Roman"/>
          <w:i/>
          <w:lang w:val="fr-BE" w:eastAsia="nl-NL"/>
        </w:rPr>
        <w:t>L’introduction de variantes libres n’est pas autorisée.</w:t>
      </w:r>
    </w:p>
    <w:p w14:paraId="397C7DF3" w14:textId="66E3EDC9" w:rsidR="006B4934" w:rsidRPr="00031F54" w:rsidRDefault="006B4934" w:rsidP="00BB166A">
      <w:pPr>
        <w:pStyle w:val="Titre3"/>
        <w:numPr>
          <w:ilvl w:val="0"/>
          <w:numId w:val="24"/>
        </w:numPr>
        <w:spacing w:after="100" w:afterAutospacing="1"/>
        <w:rPr>
          <w:b/>
          <w:lang w:val="fr-BE" w:eastAsia="nl-NL"/>
        </w:rPr>
      </w:pPr>
      <w:bookmarkStart w:id="54" w:name="_Toc200945502"/>
      <w:bookmarkStart w:id="55" w:name="_Toc201025135"/>
      <w:bookmarkStart w:id="56" w:name="_Toc201587440"/>
      <w:bookmarkStart w:id="57" w:name="_Toc513197741"/>
      <w:r w:rsidRPr="00031F54">
        <w:rPr>
          <w:b/>
          <w:iCs/>
          <w:sz w:val="24"/>
          <w:szCs w:val="28"/>
          <w:lang w:val="fr-BE" w:eastAsia="nl-NL"/>
        </w:rPr>
        <w:t>Les prix</w:t>
      </w:r>
      <w:bookmarkEnd w:id="54"/>
      <w:bookmarkEnd w:id="55"/>
      <w:bookmarkEnd w:id="56"/>
      <w:bookmarkEnd w:id="57"/>
    </w:p>
    <w:p w14:paraId="397C7DF4" w14:textId="7CB4A767" w:rsidR="006B4934" w:rsidRPr="00031F54" w:rsidRDefault="006B4934" w:rsidP="00BB166A">
      <w:pPr>
        <w:pStyle w:val="Titre3"/>
        <w:numPr>
          <w:ilvl w:val="1"/>
          <w:numId w:val="24"/>
        </w:numPr>
        <w:spacing w:after="100" w:afterAutospacing="1"/>
        <w:rPr>
          <w:sz w:val="24"/>
          <w:szCs w:val="24"/>
          <w:lang w:val="fr-BE" w:eastAsia="nl-NL"/>
        </w:rPr>
      </w:pPr>
      <w:bookmarkStart w:id="58" w:name="_Toc200945503"/>
      <w:bookmarkStart w:id="59" w:name="_Toc201025136"/>
      <w:bookmarkStart w:id="60" w:name="_Toc201587441"/>
      <w:bookmarkStart w:id="61" w:name="_Toc513197742"/>
      <w:r w:rsidRPr="00031F54">
        <w:rPr>
          <w:sz w:val="24"/>
          <w:szCs w:val="24"/>
          <w:lang w:val="fr-BE" w:eastAsia="nl-NL"/>
        </w:rPr>
        <w:t>Les prix</w:t>
      </w:r>
      <w:bookmarkEnd w:id="58"/>
      <w:bookmarkEnd w:id="59"/>
      <w:bookmarkEnd w:id="60"/>
      <w:bookmarkEnd w:id="61"/>
    </w:p>
    <w:p w14:paraId="397C7DF5" w14:textId="77777777" w:rsidR="006B4934" w:rsidRPr="00C57832" w:rsidRDefault="006B4934">
      <w:pPr>
        <w:rPr>
          <w:lang w:val="fr-BE"/>
        </w:rPr>
      </w:pPr>
      <w:r w:rsidRPr="00C57832">
        <w:rPr>
          <w:lang w:val="fr-BE"/>
        </w:rPr>
        <w:t>Tous les prix mentionnés dans l’inventaire sont obligatoirement exprimés en euro.</w:t>
      </w:r>
    </w:p>
    <w:p w14:paraId="397C7DF6" w14:textId="700E84E0" w:rsidR="006B4934" w:rsidRPr="00C57832" w:rsidRDefault="006B4934">
      <w:pPr>
        <w:rPr>
          <w:lang w:val="fr-BE"/>
        </w:rPr>
      </w:pPr>
      <w:r w:rsidRPr="00C57832">
        <w:rPr>
          <w:lang w:val="fr-BE"/>
        </w:rPr>
        <w:t xml:space="preserve">Le </w:t>
      </w:r>
      <w:r w:rsidR="005E5746" w:rsidRPr="00C57832">
        <w:rPr>
          <w:lang w:val="fr-BE"/>
        </w:rPr>
        <w:t>Marché</w:t>
      </w:r>
      <w:r w:rsidRPr="00C57832">
        <w:rPr>
          <w:lang w:val="fr-BE"/>
        </w:rPr>
        <w:t xml:space="preserve"> est un marché à bordereau de prix, ce qui signifie que seuls les prix unitaires sont forfaitaires.</w:t>
      </w:r>
    </w:p>
    <w:p w14:paraId="397C7DF7" w14:textId="77777777" w:rsidR="006B4934" w:rsidRPr="00C57832" w:rsidRDefault="006B4934">
      <w:pPr>
        <w:rPr>
          <w:lang w:val="fr-BE"/>
        </w:rPr>
      </w:pPr>
      <w:r w:rsidRPr="00C57832">
        <w:rPr>
          <w:lang w:val="fr-BE"/>
        </w:rPr>
        <w:t>Pour une description détaillée de la détermination des prix, il est renvoyé aux clauses techniques reprises dans la partie II du présent cahier des charges.</w:t>
      </w:r>
    </w:p>
    <w:p w14:paraId="397C7DF8" w14:textId="77777777" w:rsidR="006B4934" w:rsidRPr="00C57832" w:rsidRDefault="006B4934">
      <w:pPr>
        <w:rPr>
          <w:lang w:val="fr-BE"/>
        </w:rPr>
      </w:pPr>
      <w:r w:rsidRPr="00C57832">
        <w:rPr>
          <w:lang w:val="fr-BE"/>
        </w:rPr>
        <w:t>Le soumissionnaire est censé avoir inclus tous les frais et impositions généralement quelconques, de quelque importance qu'ils soient, grevant le service dans les prix unitaires figurant dans l'inventaire. L'offre constitue un marché à prix unitaires, lesquels doivent englober notamment : toutes les charges, tous les faux frais supplémentaires, toutes les circonstances inhérentes au service, tous les frais éventuels de charges et études éventuelles, toutes les mesures de sécurité temporaires et permanentes qui doivent être prises pour prévenir les accidents avec des personnes ou des biens, tant pendant la prestation  des services qu'après leur achèvement, ainsi que toutes les impositions, taxes, charges, brevets, licences, cotisations, allocations et débours liés à la réalisation complète et parfaite des services. La présente disposition doit être comprise au sens le plus large. Toutefois, le prix ne doit pas comprendre la taxe sur la valeur ajoutée (poste distinct).</w:t>
      </w:r>
    </w:p>
    <w:p w14:paraId="397C7DF9" w14:textId="77777777" w:rsidR="006B4934" w:rsidRPr="00C57832" w:rsidRDefault="006B4934">
      <w:pPr>
        <w:rPr>
          <w:lang w:val="fr-BE"/>
        </w:rPr>
      </w:pPr>
      <w:r w:rsidRPr="00C57832">
        <w:rPr>
          <w:lang w:val="fr-BE"/>
        </w:rPr>
        <w:t>Pour la remise de prix, le soumissionnaire fera obligatoirement usage du document en annexe B.</w:t>
      </w:r>
    </w:p>
    <w:p w14:paraId="397C7DFA" w14:textId="42586DD9" w:rsidR="006B4934" w:rsidRPr="00C57832" w:rsidRDefault="006B4934">
      <w:pPr>
        <w:rPr>
          <w:lang w:val="fr-BE"/>
        </w:rPr>
      </w:pPr>
      <w:r w:rsidRPr="00C57832">
        <w:rPr>
          <w:lang w:val="fr-BE"/>
        </w:rPr>
        <w:t xml:space="preserve">Le soumissionnaire est censé, lors du dépôt de son offre, être parfaitement au courant de la nature et de l'ampleur du service à fournir. En cas d'attribution, il ne pourra faire valoir aucun moyen de défense pour cause de modifications ou d'adaptations imprévues rendues nécessaires en raison d'une connaissance imparfaite de la nature et de l'ampleur du </w:t>
      </w:r>
      <w:r w:rsidR="005E5746" w:rsidRPr="00C57832">
        <w:rPr>
          <w:lang w:val="fr-BE"/>
        </w:rPr>
        <w:t>Marché</w:t>
      </w:r>
      <w:r w:rsidRPr="00C57832">
        <w:rPr>
          <w:lang w:val="fr-BE"/>
        </w:rPr>
        <w:t>.</w:t>
      </w:r>
    </w:p>
    <w:p w14:paraId="397C7DFB" w14:textId="77777777" w:rsidR="006B4934" w:rsidRPr="00C57832" w:rsidRDefault="006B4934">
      <w:pPr>
        <w:rPr>
          <w:lang w:val="fr-BE"/>
        </w:rPr>
      </w:pPr>
      <w:r w:rsidRPr="00C57832">
        <w:rPr>
          <w:lang w:val="fr-BE"/>
        </w:rPr>
        <w:t>Le soumissionnaire doit soigner la présentation de son offre. Lorsque l'offre ne mentionne pas une caractéristique ou un détail d'un travail ou d'un procédé déterminé, le soumissionnaire est censé avoir choisi la solution la plus avantageuse pour le pouvoir adjudicateur.</w:t>
      </w:r>
    </w:p>
    <w:p w14:paraId="397C7DFC" w14:textId="2F120A42" w:rsidR="006B4934" w:rsidRPr="00031F54" w:rsidRDefault="006B4934" w:rsidP="00BB166A">
      <w:pPr>
        <w:pStyle w:val="Titre3"/>
        <w:numPr>
          <w:ilvl w:val="1"/>
          <w:numId w:val="24"/>
        </w:numPr>
        <w:spacing w:after="100" w:afterAutospacing="1"/>
        <w:rPr>
          <w:sz w:val="24"/>
          <w:szCs w:val="24"/>
          <w:lang w:val="fr-BE" w:eastAsia="nl-NL"/>
        </w:rPr>
      </w:pPr>
      <w:bookmarkStart w:id="62" w:name="_Toc200945504"/>
      <w:bookmarkStart w:id="63" w:name="_Toc201025137"/>
      <w:bookmarkStart w:id="64" w:name="_Toc201587442"/>
      <w:bookmarkStart w:id="65" w:name="_Toc513197743"/>
      <w:r w:rsidRPr="00031F54">
        <w:rPr>
          <w:sz w:val="24"/>
          <w:szCs w:val="24"/>
          <w:lang w:val="fr-BE" w:eastAsia="nl-NL"/>
        </w:rPr>
        <w:t>Révision des prix</w:t>
      </w:r>
      <w:bookmarkEnd w:id="62"/>
      <w:bookmarkEnd w:id="63"/>
      <w:bookmarkEnd w:id="64"/>
      <w:bookmarkEnd w:id="65"/>
    </w:p>
    <w:p w14:paraId="397C7DFD" w14:textId="4C3692DC" w:rsidR="006B4934" w:rsidRPr="00C57832" w:rsidRDefault="006B4934">
      <w:pPr>
        <w:rPr>
          <w:lang w:val="fr-BE"/>
        </w:rPr>
      </w:pPr>
      <w:r w:rsidRPr="00C57832">
        <w:rPr>
          <w:lang w:val="fr-BE"/>
        </w:rPr>
        <w:t>Dans le cadre du présent cahier des charges, une révision de prix est d’application sur les salaires et charges sociales des travailleurs du prestataire de services</w:t>
      </w:r>
      <w:r w:rsidR="006C0583" w:rsidRPr="00C57832">
        <w:rPr>
          <w:lang w:val="fr-BE"/>
        </w:rPr>
        <w:t xml:space="preserve"> ainsi </w:t>
      </w:r>
      <w:r w:rsidR="00546783" w:rsidRPr="00C57832">
        <w:rPr>
          <w:lang w:val="fr-BE"/>
        </w:rPr>
        <w:t>que sur</w:t>
      </w:r>
      <w:r w:rsidRPr="00C57832">
        <w:rPr>
          <w:lang w:val="fr-BE"/>
        </w:rPr>
        <w:t xml:space="preserve"> le prix du carburant.</w:t>
      </w:r>
    </w:p>
    <w:p w14:paraId="397C7DFE" w14:textId="1A5BD8F3" w:rsidR="006B4934" w:rsidRPr="00C57832" w:rsidRDefault="006B4934">
      <w:pPr>
        <w:rPr>
          <w:lang w:val="fr-BE"/>
        </w:rPr>
      </w:pPr>
      <w:r w:rsidRPr="00C57832">
        <w:rPr>
          <w:lang w:val="fr-BE"/>
        </w:rPr>
        <w:t xml:space="preserve">En application </w:t>
      </w:r>
      <w:r w:rsidRPr="00A541C4">
        <w:rPr>
          <w:lang w:val="fr-BE"/>
        </w:rPr>
        <w:t xml:space="preserve">de </w:t>
      </w:r>
      <w:r w:rsidR="00A541C4">
        <w:rPr>
          <w:lang w:val="fr-BE"/>
        </w:rPr>
        <w:t>l’article</w:t>
      </w:r>
      <w:r w:rsidR="00B167E0" w:rsidRPr="00C57832">
        <w:rPr>
          <w:lang w:val="fr-BE"/>
        </w:rPr>
        <w:t xml:space="preserve"> </w:t>
      </w:r>
      <w:r w:rsidR="00427E8F" w:rsidRPr="00C57832">
        <w:rPr>
          <w:szCs w:val="18"/>
          <w:lang w:val="fr-BE"/>
        </w:rPr>
        <w:t>10 de la loi du 17 juin 2016</w:t>
      </w:r>
      <w:r w:rsidRPr="00C57832">
        <w:rPr>
          <w:lang w:val="fr-BE"/>
        </w:rPr>
        <w:t>, les modalités de révision des prix se définissent comme suit :</w:t>
      </w:r>
    </w:p>
    <w:p w14:paraId="397C7DFF" w14:textId="557AEE74" w:rsidR="006B4934" w:rsidRPr="00C57832" w:rsidRDefault="006B4934">
      <w:pPr>
        <w:pStyle w:val="Listepuces"/>
        <w:rPr>
          <w:rFonts w:eastAsia="Times New Roman"/>
          <w:lang w:val="fr-BE" w:eastAsia="nl-NL"/>
        </w:rPr>
      </w:pPr>
      <w:r w:rsidRPr="00C57832">
        <w:rPr>
          <w:rFonts w:eastAsia="Times New Roman"/>
          <w:lang w:val="fr-BE" w:eastAsia="nl-NL"/>
        </w:rPr>
        <w:t xml:space="preserve">Les prix des parties suivantes du </w:t>
      </w:r>
      <w:r w:rsidR="005E5746" w:rsidRPr="00C57832">
        <w:rPr>
          <w:rFonts w:eastAsia="Times New Roman"/>
          <w:lang w:val="fr-BE" w:eastAsia="nl-NL"/>
        </w:rPr>
        <w:t>Marché</w:t>
      </w:r>
      <w:r w:rsidRPr="00C57832">
        <w:rPr>
          <w:rFonts w:eastAsia="Times New Roman"/>
          <w:lang w:val="fr-BE" w:eastAsia="nl-NL"/>
        </w:rPr>
        <w:t xml:space="preserve"> sont </w:t>
      </w:r>
      <w:proofErr w:type="spellStart"/>
      <w:proofErr w:type="gramStart"/>
      <w:r w:rsidRPr="00C57832">
        <w:rPr>
          <w:rFonts w:eastAsia="Times New Roman"/>
          <w:lang w:val="fr-BE" w:eastAsia="nl-NL"/>
        </w:rPr>
        <w:t>indexables</w:t>
      </w:r>
      <w:proofErr w:type="spellEnd"/>
      <w:r w:rsidRPr="00C57832">
        <w:rPr>
          <w:rFonts w:eastAsia="Times New Roman"/>
          <w:lang w:val="fr-BE" w:eastAsia="nl-NL"/>
        </w:rPr>
        <w:t>:</w:t>
      </w:r>
      <w:proofErr w:type="gramEnd"/>
    </w:p>
    <w:p w14:paraId="397C7E00" w14:textId="77777777" w:rsidR="00681B3E" w:rsidRPr="00C57832" w:rsidRDefault="00C101EF" w:rsidP="00BB166A">
      <w:pPr>
        <w:pStyle w:val="Listepuces"/>
        <w:numPr>
          <w:ilvl w:val="0"/>
          <w:numId w:val="9"/>
        </w:numPr>
        <w:rPr>
          <w:rFonts w:eastAsia="Times New Roman"/>
          <w:lang w:val="fr-BE" w:eastAsia="nl-NL"/>
        </w:rPr>
      </w:pPr>
      <w:r w:rsidRPr="00C57832">
        <w:rPr>
          <w:rFonts w:eastAsia="Times New Roman"/>
          <w:lang w:val="fr-BE" w:eastAsia="nl-NL"/>
        </w:rPr>
        <w:t xml:space="preserve">Lot 1 : </w:t>
      </w:r>
      <w:r w:rsidR="006B4934" w:rsidRPr="00C57832">
        <w:rPr>
          <w:rFonts w:eastAsia="Times New Roman"/>
          <w:lang w:val="fr-BE" w:eastAsia="nl-NL"/>
        </w:rPr>
        <w:t xml:space="preserve">collecte en porte à </w:t>
      </w:r>
      <w:proofErr w:type="gramStart"/>
      <w:r w:rsidR="006B4934" w:rsidRPr="00C57832">
        <w:rPr>
          <w:rFonts w:eastAsia="Times New Roman"/>
          <w:lang w:val="fr-BE" w:eastAsia="nl-NL"/>
        </w:rPr>
        <w:t>porte;</w:t>
      </w:r>
      <w:proofErr w:type="gramEnd"/>
    </w:p>
    <w:p w14:paraId="397C7E01" w14:textId="7098B17A" w:rsidR="00681B3E" w:rsidRPr="00C57832" w:rsidRDefault="005254F1" w:rsidP="00BB166A">
      <w:pPr>
        <w:pStyle w:val="Listepuces"/>
        <w:numPr>
          <w:ilvl w:val="0"/>
          <w:numId w:val="9"/>
        </w:numPr>
        <w:rPr>
          <w:rFonts w:eastAsia="Times New Roman"/>
          <w:lang w:val="fr-BE" w:eastAsia="nl-NL"/>
        </w:rPr>
      </w:pPr>
      <w:r w:rsidRPr="00C57832">
        <w:rPr>
          <w:rFonts w:eastAsia="Times New Roman"/>
          <w:lang w:val="fr-BE" w:eastAsia="nl-NL"/>
        </w:rPr>
        <w:t xml:space="preserve">Lot 2 : transport des conteneurs </w:t>
      </w:r>
      <w:r w:rsidR="00427E8F" w:rsidRPr="00C57832">
        <w:rPr>
          <w:rFonts w:eastAsia="Times New Roman"/>
          <w:lang w:val="fr-BE" w:eastAsia="nl-NL"/>
        </w:rPr>
        <w:t xml:space="preserve">des </w:t>
      </w:r>
      <w:proofErr w:type="spellStart"/>
      <w:r w:rsidR="00427E8F" w:rsidRPr="00C57832">
        <w:rPr>
          <w:rFonts w:eastAsia="Times New Roman"/>
          <w:lang w:val="fr-BE" w:eastAsia="nl-NL"/>
        </w:rPr>
        <w:t>recyparcs</w:t>
      </w:r>
      <w:proofErr w:type="spellEnd"/>
      <w:r w:rsidR="00427E8F" w:rsidRPr="00C57832">
        <w:rPr>
          <w:rFonts w:eastAsia="Times New Roman"/>
          <w:lang w:val="fr-BE" w:eastAsia="nl-NL"/>
        </w:rPr>
        <w:t xml:space="preserve"> </w:t>
      </w:r>
      <w:r w:rsidRPr="00C57832">
        <w:rPr>
          <w:rFonts w:eastAsia="Times New Roman"/>
          <w:lang w:val="fr-BE" w:eastAsia="nl-NL"/>
        </w:rPr>
        <w:t xml:space="preserve">vers le centre de tri (ou la station de transfert proposée par ce dernier). La location des conteneurs n’est pas </w:t>
      </w:r>
      <w:proofErr w:type="spellStart"/>
      <w:r w:rsidRPr="00C57832">
        <w:rPr>
          <w:rFonts w:eastAsia="Times New Roman"/>
          <w:lang w:val="fr-BE" w:eastAsia="nl-NL"/>
        </w:rPr>
        <w:t>indexable</w:t>
      </w:r>
      <w:proofErr w:type="spellEnd"/>
      <w:r w:rsidRPr="00C57832">
        <w:rPr>
          <w:rFonts w:eastAsia="Times New Roman"/>
          <w:lang w:val="fr-BE" w:eastAsia="nl-NL"/>
        </w:rPr>
        <w:t>.</w:t>
      </w:r>
    </w:p>
    <w:p w14:paraId="397C7E02" w14:textId="595D3825" w:rsidR="006B4934" w:rsidRPr="00C57832" w:rsidRDefault="00E03C1A">
      <w:pPr>
        <w:pStyle w:val="Listepuces"/>
        <w:rPr>
          <w:rFonts w:eastAsia="Times New Roman"/>
          <w:lang w:val="fr-BE" w:eastAsia="nl-NL"/>
        </w:rPr>
      </w:pPr>
      <w:r w:rsidRPr="00C57832">
        <w:rPr>
          <w:rFonts w:eastAsia="Times New Roman"/>
          <w:lang w:val="fr-BE" w:eastAsia="nl-NL"/>
        </w:rPr>
        <w:t xml:space="preserve">Cette indexation est appliquée tous les </w:t>
      </w:r>
      <w:r w:rsidR="003A7B0E" w:rsidRPr="00C57832">
        <w:rPr>
          <w:rFonts w:eastAsia="Times New Roman"/>
          <w:lang w:val="fr-BE" w:eastAsia="nl-NL"/>
        </w:rPr>
        <w:t>six</w:t>
      </w:r>
      <w:r w:rsidRPr="00C57832">
        <w:rPr>
          <w:rFonts w:eastAsia="Times New Roman"/>
          <w:lang w:val="fr-BE" w:eastAsia="nl-NL"/>
        </w:rPr>
        <w:t xml:space="preserve"> </w:t>
      </w:r>
      <w:r w:rsidR="00546783" w:rsidRPr="00C57832">
        <w:rPr>
          <w:rFonts w:eastAsia="Times New Roman"/>
          <w:lang w:val="fr-BE" w:eastAsia="nl-NL"/>
        </w:rPr>
        <w:t>mois au</w:t>
      </w:r>
      <w:r w:rsidRPr="00C57832">
        <w:rPr>
          <w:rFonts w:eastAsia="Times New Roman"/>
          <w:lang w:val="fr-BE" w:eastAsia="nl-NL"/>
        </w:rPr>
        <w:t xml:space="preserve"> premier janvier et au premier </w:t>
      </w:r>
      <w:r w:rsidR="006F501A" w:rsidRPr="00C57832">
        <w:rPr>
          <w:rFonts w:eastAsia="Times New Roman"/>
          <w:lang w:val="fr-BE" w:eastAsia="nl-NL"/>
        </w:rPr>
        <w:t xml:space="preserve">juillet </w:t>
      </w:r>
      <w:r w:rsidR="006B4934" w:rsidRPr="00C57832">
        <w:rPr>
          <w:rFonts w:eastAsia="Times New Roman"/>
          <w:lang w:val="fr-BE" w:eastAsia="nl-NL"/>
        </w:rPr>
        <w:t>de chaque année</w:t>
      </w:r>
      <w:r w:rsidR="0001127C" w:rsidRPr="00C57832">
        <w:rPr>
          <w:rFonts w:eastAsia="Times New Roman"/>
          <w:lang w:val="fr-BE" w:eastAsia="nl-NL"/>
        </w:rPr>
        <w:t>.</w:t>
      </w:r>
      <w:r w:rsidR="006B4934" w:rsidRPr="00C57832">
        <w:rPr>
          <w:rFonts w:eastAsia="Times New Roman"/>
          <w:lang w:val="fr-BE" w:eastAsia="nl-NL"/>
        </w:rPr>
        <w:t xml:space="preserve"> </w:t>
      </w:r>
      <w:r w:rsidR="00DC331D" w:rsidRPr="00C57832">
        <w:rPr>
          <w:rFonts w:eastAsia="Times New Roman"/>
          <w:lang w:val="fr-BE" w:eastAsia="nl-NL"/>
        </w:rPr>
        <w:t xml:space="preserve">La première indexation a lieu le </w:t>
      </w:r>
      <w:r w:rsidR="00306B75" w:rsidRPr="00C57832">
        <w:rPr>
          <w:szCs w:val="18"/>
          <w:lang w:val="fr-BE"/>
        </w:rPr>
        <w:fldChar w:fldCharType="begin">
          <w:ffData>
            <w:name w:val=""/>
            <w:enabled/>
            <w:calcOnExit w:val="0"/>
            <w:textInput>
              <w:default w:val="&lt;indiquer la date&gt;"/>
            </w:textInput>
          </w:ffData>
        </w:fldChar>
      </w:r>
      <w:r w:rsidR="006C0583"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006C0583" w:rsidRPr="00C57832">
        <w:rPr>
          <w:szCs w:val="18"/>
          <w:lang w:val="fr-BE"/>
        </w:rPr>
        <w:t>&lt;indiquer la date&gt;</w:t>
      </w:r>
      <w:r w:rsidR="00306B75" w:rsidRPr="00C57832">
        <w:rPr>
          <w:szCs w:val="18"/>
          <w:lang w:val="fr-BE"/>
        </w:rPr>
        <w:fldChar w:fldCharType="end"/>
      </w:r>
      <w:r w:rsidR="00C101EF" w:rsidRPr="00C57832">
        <w:rPr>
          <w:rFonts w:eastAsia="Times New Roman"/>
          <w:lang w:val="fr-BE" w:eastAsia="nl-NL"/>
        </w:rPr>
        <w:t>.</w:t>
      </w:r>
    </w:p>
    <w:p w14:paraId="397C7E03" w14:textId="77777777" w:rsidR="006B4934" w:rsidRPr="00C57832" w:rsidRDefault="006B4934">
      <w:pPr>
        <w:rPr>
          <w:lang w:val="fr-BE"/>
        </w:rPr>
      </w:pPr>
    </w:p>
    <w:p w14:paraId="397C7E04" w14:textId="77777777" w:rsidR="006B4934" w:rsidRPr="00C57832" w:rsidRDefault="006B4934">
      <w:pPr>
        <w:jc w:val="both"/>
        <w:rPr>
          <w:lang w:val="fr-BE"/>
        </w:rPr>
      </w:pPr>
      <w:r w:rsidRPr="00C57832">
        <w:rPr>
          <w:color w:val="000000"/>
          <w:szCs w:val="18"/>
          <w:lang w:val="fr-BE"/>
        </w:rPr>
        <w:lastRenderedPageBreak/>
        <w:t xml:space="preserve">Les prix sont indexés selon la formule </w:t>
      </w:r>
      <w:proofErr w:type="gramStart"/>
      <w:r w:rsidRPr="00C57832">
        <w:rPr>
          <w:color w:val="000000"/>
          <w:szCs w:val="18"/>
          <w:lang w:val="fr-BE"/>
        </w:rPr>
        <w:t>suivante</w:t>
      </w:r>
      <w:r w:rsidRPr="00C57832">
        <w:rPr>
          <w:lang w:val="fr-BE"/>
        </w:rPr>
        <w:t>:</w:t>
      </w:r>
      <w:proofErr w:type="gramEnd"/>
    </w:p>
    <w:p w14:paraId="397C7E05" w14:textId="77777777" w:rsidR="006B4934" w:rsidRPr="00C57832" w:rsidRDefault="006B4934">
      <w:pPr>
        <w:jc w:val="both"/>
        <w:rPr>
          <w:lang w:val="fr-BE"/>
        </w:rPr>
      </w:pPr>
    </w:p>
    <w:p w14:paraId="397C7E06" w14:textId="77777777" w:rsidR="006B4934" w:rsidRPr="00C57832" w:rsidRDefault="006B4934">
      <w:pPr>
        <w:framePr w:w="2477" w:h="775" w:hRule="exact" w:hSpace="240" w:vSpace="240" w:wrap="auto" w:vAnchor="text" w:hAnchor="page" w:x="1513" w:y="53"/>
        <w:pBdr>
          <w:top w:val="single" w:sz="6" w:space="0" w:color="FFFFFF"/>
          <w:left w:val="single" w:sz="6" w:space="0" w:color="FFFFFF"/>
          <w:bottom w:val="single" w:sz="6" w:space="0" w:color="FFFFFF"/>
          <w:right w:val="single" w:sz="6" w:space="0" w:color="FFFFFF"/>
        </w:pBdr>
        <w:jc w:val="both"/>
        <w:rPr>
          <w:szCs w:val="18"/>
          <w:lang w:val="fr-BE"/>
        </w:rPr>
      </w:pPr>
      <w:r w:rsidRPr="00C57832">
        <w:rPr>
          <w:position w:val="-24"/>
          <w:szCs w:val="18"/>
          <w:lang w:val="fr-BE"/>
        </w:rPr>
        <w:object w:dxaOrig="2120" w:dyaOrig="620" w14:anchorId="397C8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32.1pt" o:ole="" fillcolor="window">
            <v:imagedata r:id="rId16" o:title=""/>
          </v:shape>
          <o:OLEObject Type="Embed" ProgID="Equation.3" ShapeID="_x0000_i1025" DrawAspect="Content" ObjectID="_1653484381" r:id="rId17"/>
        </w:object>
      </w:r>
    </w:p>
    <w:p w14:paraId="397C7E07" w14:textId="77777777" w:rsidR="006B4934" w:rsidRPr="00C57832" w:rsidRDefault="006B4934">
      <w:pPr>
        <w:rPr>
          <w:color w:val="000000"/>
          <w:szCs w:val="18"/>
          <w:lang w:val="fr-BE"/>
        </w:rPr>
      </w:pPr>
    </w:p>
    <w:p w14:paraId="397C7E08" w14:textId="77777777" w:rsidR="006B4934" w:rsidRPr="00C57832" w:rsidRDefault="006B4934">
      <w:pPr>
        <w:rPr>
          <w:color w:val="000000"/>
          <w:szCs w:val="18"/>
          <w:lang w:val="fr-BE"/>
        </w:rPr>
      </w:pPr>
    </w:p>
    <w:p w14:paraId="397C7E09" w14:textId="77777777" w:rsidR="006B4934" w:rsidRPr="00C57832" w:rsidRDefault="006B4934">
      <w:pPr>
        <w:rPr>
          <w:color w:val="000000"/>
          <w:szCs w:val="18"/>
          <w:lang w:val="fr-BE"/>
        </w:rPr>
      </w:pPr>
    </w:p>
    <w:p w14:paraId="397C7E0A" w14:textId="77777777" w:rsidR="006B4934" w:rsidRPr="00C57832" w:rsidRDefault="006B4934">
      <w:pPr>
        <w:rPr>
          <w:lang w:val="fr-BE"/>
        </w:rPr>
      </w:pPr>
      <w:proofErr w:type="gramStart"/>
      <w:r w:rsidRPr="00C57832">
        <w:rPr>
          <w:lang w:val="fr-BE"/>
        </w:rPr>
        <w:t>dans</w:t>
      </w:r>
      <w:proofErr w:type="gramEnd"/>
      <w:r w:rsidRPr="00C57832">
        <w:rPr>
          <w:lang w:val="fr-BE"/>
        </w:rPr>
        <w:t xml:space="preserve"> laquelle:</w:t>
      </w:r>
    </w:p>
    <w:p w14:paraId="397C7E0B" w14:textId="77777777" w:rsidR="006B4934" w:rsidRPr="00C57832" w:rsidRDefault="006B4934">
      <w:pPr>
        <w:rPr>
          <w:lang w:val="fr-BE"/>
        </w:rPr>
      </w:pPr>
      <w:r w:rsidRPr="00C57832">
        <w:rPr>
          <w:lang w:val="fr-BE"/>
        </w:rPr>
        <w:t xml:space="preserve">P = le tarif fixé par le contrat </w:t>
      </w:r>
      <w:r w:rsidR="0052619C" w:rsidRPr="00C57832">
        <w:rPr>
          <w:lang w:val="fr-BE"/>
        </w:rPr>
        <w:t>avec</w:t>
      </w:r>
      <w:r w:rsidRPr="00C57832">
        <w:rPr>
          <w:lang w:val="fr-BE"/>
        </w:rPr>
        <w:t xml:space="preserve"> déduction des rabais et réfactions.</w:t>
      </w:r>
    </w:p>
    <w:p w14:paraId="397C7E0C" w14:textId="77777777" w:rsidR="006B4934" w:rsidRPr="00C57832" w:rsidRDefault="006B4934">
      <w:pPr>
        <w:rPr>
          <w:lang w:val="fr-BE"/>
        </w:rPr>
      </w:pPr>
      <w:proofErr w:type="gramStart"/>
      <w:r w:rsidRPr="00C57832">
        <w:rPr>
          <w:lang w:val="fr-BE"/>
        </w:rPr>
        <w:t>p</w:t>
      </w:r>
      <w:proofErr w:type="gramEnd"/>
      <w:r w:rsidRPr="00C57832">
        <w:rPr>
          <w:lang w:val="fr-BE"/>
        </w:rPr>
        <w:t xml:space="preserve"> = le tarif après indexation calculé jusqu’à la </w:t>
      </w:r>
      <w:r w:rsidR="00C101EF" w:rsidRPr="00C57832">
        <w:rPr>
          <w:lang w:val="fr-BE"/>
        </w:rPr>
        <w:t xml:space="preserve">quatrième </w:t>
      </w:r>
      <w:r w:rsidRPr="00C57832">
        <w:rPr>
          <w:lang w:val="fr-BE"/>
        </w:rPr>
        <w:t xml:space="preserve">décimale pour la partie fixe et jusqu’à la </w:t>
      </w:r>
      <w:r w:rsidR="00C101EF" w:rsidRPr="00C57832">
        <w:rPr>
          <w:lang w:val="fr-BE"/>
        </w:rPr>
        <w:t>deuxième</w:t>
      </w:r>
      <w:r w:rsidRPr="00C57832">
        <w:rPr>
          <w:lang w:val="fr-BE"/>
        </w:rPr>
        <w:t xml:space="preserve"> décimale pour la partie variable.</w:t>
      </w:r>
    </w:p>
    <w:p w14:paraId="397C7E0D" w14:textId="712D93D9" w:rsidR="006B4934" w:rsidRPr="00C57832" w:rsidRDefault="006B4934">
      <w:pPr>
        <w:rPr>
          <w:lang w:val="fr-BE"/>
        </w:rPr>
      </w:pPr>
      <w:r w:rsidRPr="00C57832">
        <w:rPr>
          <w:lang w:val="fr-BE"/>
        </w:rPr>
        <w:t>S = le salaire horaire moyen en vigueur dix jours avant l'ouverture des offres, majoré du pourcentage total des charges sociales et assurances retenu, pour cette même date, par le S</w:t>
      </w:r>
      <w:r w:rsidR="003F6C03" w:rsidRPr="00C57832">
        <w:rPr>
          <w:lang w:val="fr-BE"/>
        </w:rPr>
        <w:t>PF</w:t>
      </w:r>
      <w:r w:rsidRPr="00C57832">
        <w:rPr>
          <w:lang w:val="fr-BE"/>
        </w:rPr>
        <w:t xml:space="preserve"> Économie (Service Qualité-Statistiques de la Construction)</w:t>
      </w:r>
    </w:p>
    <w:p w14:paraId="397C7E0E" w14:textId="3208B415" w:rsidR="006B4934" w:rsidRPr="00C57832" w:rsidRDefault="006B4934">
      <w:pPr>
        <w:rPr>
          <w:lang w:val="fr-BE"/>
        </w:rPr>
      </w:pPr>
      <w:proofErr w:type="gramStart"/>
      <w:r w:rsidRPr="00C57832">
        <w:rPr>
          <w:lang w:val="fr-BE"/>
        </w:rPr>
        <w:t>s</w:t>
      </w:r>
      <w:proofErr w:type="gramEnd"/>
      <w:r w:rsidRPr="00C57832">
        <w:rPr>
          <w:lang w:val="fr-BE"/>
        </w:rPr>
        <w:t xml:space="preserve"> = le même salaire horaire moyen en vigueur au cours du mois précédant le mois auquel s'applique l'indexation, majoré du pourcentage total des charges sociales et assurances retenu, pour cette même date par le S</w:t>
      </w:r>
      <w:r w:rsidR="003F6C03" w:rsidRPr="00C57832">
        <w:rPr>
          <w:lang w:val="fr-BE"/>
        </w:rPr>
        <w:t>PF</w:t>
      </w:r>
      <w:r w:rsidRPr="00C57832">
        <w:rPr>
          <w:lang w:val="fr-BE"/>
        </w:rPr>
        <w:t xml:space="preserve"> Économie (Service Qualité-Statistiques de la Construction)</w:t>
      </w:r>
      <w:r w:rsidR="00C11BD6" w:rsidRPr="00C57832">
        <w:rPr>
          <w:lang w:val="fr-BE"/>
        </w:rPr>
        <w:t xml:space="preserve"> </w:t>
      </w:r>
    </w:p>
    <w:p w14:paraId="397C7E0F" w14:textId="77777777" w:rsidR="006B4934" w:rsidRPr="00C57832" w:rsidRDefault="006B4934">
      <w:pPr>
        <w:rPr>
          <w:lang w:val="fr-BE"/>
        </w:rPr>
      </w:pPr>
      <w:proofErr w:type="gramStart"/>
      <w:r w:rsidRPr="00C57832">
        <w:rPr>
          <w:lang w:val="fr-BE"/>
        </w:rPr>
        <w:t>catégorie</w:t>
      </w:r>
      <w:proofErr w:type="gramEnd"/>
      <w:r w:rsidRPr="00C57832">
        <w:rPr>
          <w:lang w:val="fr-BE"/>
        </w:rPr>
        <w:t xml:space="preserve"> de travail : D</w:t>
      </w:r>
    </w:p>
    <w:p w14:paraId="397C7E10" w14:textId="77777777" w:rsidR="006B4934" w:rsidRPr="00C57832" w:rsidRDefault="006B4934">
      <w:pPr>
        <w:rPr>
          <w:lang w:val="fr-BE"/>
        </w:rPr>
      </w:pPr>
      <w:r w:rsidRPr="00C57832">
        <w:rPr>
          <w:lang w:val="fr-BE"/>
        </w:rPr>
        <w:t xml:space="preserve">M = </w:t>
      </w:r>
      <w:r w:rsidRPr="00C57832">
        <w:rPr>
          <w:lang w:val="fr-BE"/>
        </w:rPr>
        <w:tab/>
        <w:t>le prix de référence T.P. du gasoil pour véhicules (réf. T.P. n°549 bis), en vigueur dix jours avant l'ouverture des offres.</w:t>
      </w:r>
    </w:p>
    <w:p w14:paraId="397C7E11" w14:textId="77777777" w:rsidR="006B4934" w:rsidRPr="00C57832" w:rsidRDefault="006B4934">
      <w:pPr>
        <w:rPr>
          <w:lang w:val="fr-BE"/>
        </w:rPr>
      </w:pPr>
      <w:proofErr w:type="gramStart"/>
      <w:r w:rsidRPr="00C57832">
        <w:rPr>
          <w:lang w:val="fr-BE"/>
        </w:rPr>
        <w:t>m</w:t>
      </w:r>
      <w:proofErr w:type="gramEnd"/>
      <w:r w:rsidRPr="00C57832">
        <w:rPr>
          <w:lang w:val="fr-BE"/>
        </w:rPr>
        <w:t xml:space="preserve"> = </w:t>
      </w:r>
      <w:r w:rsidRPr="00C57832">
        <w:rPr>
          <w:lang w:val="fr-BE"/>
        </w:rPr>
        <w:tab/>
      </w:r>
      <w:r w:rsidR="00C70874" w:rsidRPr="00C57832">
        <w:rPr>
          <w:lang w:val="fr-BE"/>
        </w:rPr>
        <w:t>le</w:t>
      </w:r>
      <w:r w:rsidRPr="00C57832">
        <w:rPr>
          <w:lang w:val="fr-BE"/>
        </w:rPr>
        <w:t xml:space="preserve"> prix de référence T.P. du gasoil pour véhicules (réf. T.P. n°549 bis), </w:t>
      </w:r>
      <w:r w:rsidR="005E7422" w:rsidRPr="00C57832">
        <w:rPr>
          <w:lang w:val="fr-BE"/>
        </w:rPr>
        <w:t xml:space="preserve">étant le prix moyen du prix de référence des six derniers mois </w:t>
      </w:r>
      <w:r w:rsidR="006F501A" w:rsidRPr="00C57832">
        <w:rPr>
          <w:lang w:val="fr-BE"/>
        </w:rPr>
        <w:t xml:space="preserve">précédents </w:t>
      </w:r>
      <w:r w:rsidRPr="00C57832">
        <w:rPr>
          <w:lang w:val="fr-BE"/>
        </w:rPr>
        <w:t>le mois auquel s'applique l'indexation.</w:t>
      </w:r>
    </w:p>
    <w:p w14:paraId="397C7E12" w14:textId="77777777" w:rsidR="006B4934" w:rsidRPr="00C57832" w:rsidRDefault="00471C78">
      <w:pPr>
        <w:rPr>
          <w:lang w:val="fr-BE"/>
        </w:rPr>
      </w:pPr>
      <w:proofErr w:type="gramStart"/>
      <w:r w:rsidRPr="00C57832">
        <w:rPr>
          <w:lang w:val="fr-BE"/>
        </w:rPr>
        <w:t>a</w:t>
      </w:r>
      <w:proofErr w:type="gramEnd"/>
      <w:r w:rsidRPr="00C57832">
        <w:rPr>
          <w:lang w:val="fr-BE"/>
        </w:rPr>
        <w:t xml:space="preserve"> = 0,</w:t>
      </w:r>
      <w:r w:rsidR="005E7422" w:rsidRPr="00C57832">
        <w:rPr>
          <w:lang w:val="fr-BE"/>
        </w:rPr>
        <w:t>7</w:t>
      </w:r>
      <w:r w:rsidRPr="00C57832">
        <w:rPr>
          <w:lang w:val="fr-BE"/>
        </w:rPr>
        <w:t>0</w:t>
      </w:r>
    </w:p>
    <w:p w14:paraId="397C7E13" w14:textId="77777777" w:rsidR="006B4934" w:rsidRPr="00C57832" w:rsidRDefault="00471C78">
      <w:pPr>
        <w:rPr>
          <w:lang w:val="fr-BE"/>
        </w:rPr>
      </w:pPr>
      <w:proofErr w:type="gramStart"/>
      <w:r w:rsidRPr="00C57832">
        <w:rPr>
          <w:lang w:val="fr-BE"/>
        </w:rPr>
        <w:t>b</w:t>
      </w:r>
      <w:proofErr w:type="gramEnd"/>
      <w:r w:rsidRPr="00C57832">
        <w:rPr>
          <w:lang w:val="fr-BE"/>
        </w:rPr>
        <w:t xml:space="preserve"> = 0,</w:t>
      </w:r>
      <w:r w:rsidR="005E7422" w:rsidRPr="00C57832">
        <w:rPr>
          <w:lang w:val="fr-BE"/>
        </w:rPr>
        <w:t>1</w:t>
      </w:r>
      <w:r w:rsidRPr="00C57832">
        <w:rPr>
          <w:lang w:val="fr-BE"/>
        </w:rPr>
        <w:t>0</w:t>
      </w:r>
    </w:p>
    <w:p w14:paraId="397C7E14" w14:textId="77777777" w:rsidR="006B4934" w:rsidRPr="00C57832" w:rsidRDefault="00471C78">
      <w:pPr>
        <w:rPr>
          <w:lang w:val="fr-BE"/>
        </w:rPr>
      </w:pPr>
      <w:proofErr w:type="gramStart"/>
      <w:r w:rsidRPr="00C57832">
        <w:rPr>
          <w:lang w:val="fr-BE"/>
        </w:rPr>
        <w:t>c</w:t>
      </w:r>
      <w:proofErr w:type="gramEnd"/>
      <w:r w:rsidRPr="00C57832">
        <w:rPr>
          <w:lang w:val="fr-BE"/>
        </w:rPr>
        <w:t xml:space="preserve"> = 0,20</w:t>
      </w:r>
    </w:p>
    <w:p w14:paraId="397C7E15" w14:textId="77777777" w:rsidR="00431B4D" w:rsidRPr="00C57832" w:rsidRDefault="00431B4D" w:rsidP="00431B4D">
      <w:pPr>
        <w:rPr>
          <w:lang w:val="fr-BE"/>
        </w:rPr>
      </w:pPr>
      <w:r w:rsidRPr="00C57832">
        <w:rPr>
          <w:lang w:val="fr-BE"/>
        </w:rPr>
        <w:t xml:space="preserve">A titre d’information, les valeurs de “s” et de “m” peuvent </w:t>
      </w:r>
      <w:r w:rsidR="000A005B" w:rsidRPr="00C57832">
        <w:rPr>
          <w:lang w:val="fr-BE"/>
        </w:rPr>
        <w:t xml:space="preserve">actuellement </w:t>
      </w:r>
      <w:r w:rsidRPr="00C57832">
        <w:rPr>
          <w:lang w:val="fr-BE"/>
        </w:rPr>
        <w:t>être trouvé</w:t>
      </w:r>
      <w:r w:rsidR="00DA48E0" w:rsidRPr="00C57832">
        <w:rPr>
          <w:lang w:val="fr-BE"/>
        </w:rPr>
        <w:t>es</w:t>
      </w:r>
      <w:r w:rsidRPr="00C57832">
        <w:rPr>
          <w:lang w:val="fr-BE"/>
        </w:rPr>
        <w:t xml:space="preserve"> sur http://economie.fgov.be sous Home &gt; Entreprises &amp; Indépendants &gt; Domaines spécifiques &gt; Qualité dans la construction &gt; Adaptation des prix à l'index</w:t>
      </w:r>
    </w:p>
    <w:p w14:paraId="397C7E18" w14:textId="0374D6AE" w:rsidR="00BE3AF1" w:rsidRPr="00031F54" w:rsidRDefault="007A2736" w:rsidP="00BB166A">
      <w:pPr>
        <w:pStyle w:val="Titre3"/>
        <w:numPr>
          <w:ilvl w:val="0"/>
          <w:numId w:val="24"/>
        </w:numPr>
        <w:spacing w:after="100" w:afterAutospacing="1"/>
        <w:rPr>
          <w:b/>
          <w:iCs/>
          <w:sz w:val="24"/>
          <w:szCs w:val="28"/>
          <w:lang w:val="fr-BE" w:eastAsia="nl-NL"/>
        </w:rPr>
      </w:pPr>
      <w:bookmarkStart w:id="66" w:name="_Toc513197744"/>
      <w:r w:rsidRPr="00031F54">
        <w:rPr>
          <w:b/>
          <w:iCs/>
          <w:sz w:val="24"/>
          <w:szCs w:val="28"/>
          <w:lang w:val="fr-BE" w:eastAsia="nl-NL"/>
        </w:rPr>
        <w:t>Regroupement</w:t>
      </w:r>
      <w:r w:rsidR="00FC3AE6" w:rsidRPr="00031F54">
        <w:rPr>
          <w:b/>
          <w:iCs/>
          <w:sz w:val="24"/>
          <w:szCs w:val="28"/>
          <w:lang w:val="fr-BE" w:eastAsia="nl-NL"/>
        </w:rPr>
        <w:t xml:space="preserve"> de lots</w:t>
      </w:r>
      <w:bookmarkEnd w:id="66"/>
    </w:p>
    <w:p w14:paraId="397C7E19" w14:textId="71DFB2B8" w:rsidR="006B4934" w:rsidRPr="00C57832" w:rsidRDefault="006B4934" w:rsidP="00B52F18">
      <w:pPr>
        <w:spacing w:before="240"/>
        <w:rPr>
          <w:lang w:val="fr-BE"/>
        </w:rPr>
      </w:pPr>
      <w:r w:rsidRPr="00C57832">
        <w:rPr>
          <w:lang w:val="fr-BE"/>
        </w:rPr>
        <w:t xml:space="preserve">Si le cahier des charges comporte plusieurs lots, le soumissionnaire peut introduire une </w:t>
      </w:r>
      <w:r w:rsidR="00546783" w:rsidRPr="00C57832">
        <w:rPr>
          <w:lang w:val="fr-BE"/>
        </w:rPr>
        <w:t>offre pour</w:t>
      </w:r>
      <w:r w:rsidRPr="00C57832">
        <w:rPr>
          <w:lang w:val="fr-BE"/>
        </w:rPr>
        <w:t xml:space="preserve"> un ou plusieurs lots. Ces offres sont remises dans un seul document. Le soumissionnaire a la faculté de proposer, dans son offre, des rabais sur les prix en cas de réunion de plusieurs lots.</w:t>
      </w:r>
      <w:r w:rsidR="00FC3AE6" w:rsidRPr="00C57832">
        <w:rPr>
          <w:lang w:val="fr-BE"/>
        </w:rPr>
        <w:t xml:space="preserve"> Dans ce cas, il est tenu de le mentionner explicitement sur son formulaire de soumission (annexe A).</w:t>
      </w:r>
    </w:p>
    <w:p w14:paraId="397C7E20" w14:textId="7745DDE0" w:rsidR="006B4934" w:rsidRPr="00031F54" w:rsidRDefault="007A2736" w:rsidP="00BB166A">
      <w:pPr>
        <w:pStyle w:val="Titre3"/>
        <w:numPr>
          <w:ilvl w:val="0"/>
          <w:numId w:val="24"/>
        </w:numPr>
        <w:spacing w:after="100" w:afterAutospacing="1"/>
        <w:rPr>
          <w:b/>
          <w:iCs/>
          <w:sz w:val="24"/>
          <w:szCs w:val="28"/>
          <w:lang w:val="fr-BE" w:eastAsia="nl-NL"/>
        </w:rPr>
      </w:pPr>
      <w:bookmarkStart w:id="67" w:name="_Toc200945507"/>
      <w:bookmarkStart w:id="68" w:name="_Toc201025140"/>
      <w:bookmarkStart w:id="69" w:name="_Toc201587445"/>
      <w:bookmarkStart w:id="70" w:name="_Toc513197746"/>
      <w:r w:rsidRPr="00031F54">
        <w:rPr>
          <w:b/>
          <w:iCs/>
          <w:sz w:val="24"/>
          <w:szCs w:val="28"/>
          <w:lang w:val="fr-BE" w:eastAsia="nl-NL"/>
        </w:rPr>
        <w:t xml:space="preserve">Droit d’admission et </w:t>
      </w:r>
      <w:r w:rsidR="006B4934" w:rsidRPr="00031F54">
        <w:rPr>
          <w:b/>
          <w:iCs/>
          <w:sz w:val="24"/>
          <w:szCs w:val="28"/>
          <w:lang w:val="fr-BE" w:eastAsia="nl-NL"/>
        </w:rPr>
        <w:t>sélection – Régularité des offres</w:t>
      </w:r>
      <w:bookmarkEnd w:id="67"/>
      <w:bookmarkEnd w:id="68"/>
      <w:bookmarkEnd w:id="69"/>
      <w:bookmarkEnd w:id="70"/>
      <w:r w:rsidR="006B4934" w:rsidRPr="00031F54">
        <w:rPr>
          <w:b/>
          <w:iCs/>
          <w:sz w:val="24"/>
          <w:szCs w:val="28"/>
          <w:lang w:val="fr-BE" w:eastAsia="nl-NL"/>
        </w:rPr>
        <w:t xml:space="preserve"> </w:t>
      </w:r>
    </w:p>
    <w:p w14:paraId="62EB0AF0" w14:textId="34BB7AFD" w:rsidR="007A2736" w:rsidRPr="00031F54" w:rsidRDefault="007A2736" w:rsidP="00BB166A">
      <w:pPr>
        <w:pStyle w:val="Titre3"/>
        <w:numPr>
          <w:ilvl w:val="1"/>
          <w:numId w:val="24"/>
        </w:numPr>
        <w:spacing w:after="100" w:afterAutospacing="1"/>
        <w:rPr>
          <w:sz w:val="24"/>
          <w:szCs w:val="24"/>
          <w:lang w:val="fr-BE" w:eastAsia="nl-NL"/>
        </w:rPr>
      </w:pPr>
      <w:bookmarkStart w:id="71" w:name="_Toc201587447"/>
      <w:bookmarkStart w:id="72" w:name="_Toc513197747"/>
      <w:r w:rsidRPr="00031F54">
        <w:rPr>
          <w:sz w:val="24"/>
          <w:szCs w:val="24"/>
          <w:lang w:val="fr-BE" w:eastAsia="nl-NL"/>
        </w:rPr>
        <w:t>La sélection</w:t>
      </w:r>
    </w:p>
    <w:p w14:paraId="11603C61" w14:textId="77777777" w:rsidR="007A2736" w:rsidRPr="00C57832" w:rsidRDefault="007A2736" w:rsidP="007A2736">
      <w:pPr>
        <w:rPr>
          <w:lang w:val="fr-BE" w:eastAsia="nl-NL"/>
        </w:rPr>
      </w:pPr>
      <w:r w:rsidRPr="00C57832">
        <w:rPr>
          <w:lang w:val="fr-BE" w:eastAsia="nl-NL"/>
        </w:rPr>
        <w:t>Les soumissionnaires sont évalués sur la base des critères de sélection repris ci-après.</w:t>
      </w:r>
    </w:p>
    <w:p w14:paraId="7412432D" w14:textId="77777777" w:rsidR="007A2736" w:rsidRPr="00C57832" w:rsidRDefault="007A2736" w:rsidP="007A2736">
      <w:pPr>
        <w:rPr>
          <w:lang w:val="fr-BE" w:eastAsia="nl-NL"/>
        </w:rPr>
      </w:pPr>
      <w:r w:rsidRPr="00C57832">
        <w:rPr>
          <w:lang w:val="fr-BE" w:eastAsia="nl-NL"/>
        </w:rPr>
        <w:t>Par le dépôt de son offre accompagné du document unique de marché européen (DUME), le soumissionnaire déclare officiellement sur l’honneur :</w:t>
      </w:r>
    </w:p>
    <w:p w14:paraId="7BA8030A" w14:textId="77777777" w:rsidR="007A2736" w:rsidRPr="00C57832" w:rsidRDefault="007A2736" w:rsidP="007A2736">
      <w:pPr>
        <w:rPr>
          <w:lang w:val="fr-BE" w:eastAsia="nl-NL"/>
        </w:rPr>
      </w:pPr>
      <w:r w:rsidRPr="00C57832">
        <w:rPr>
          <w:lang w:val="fr-BE" w:eastAsia="nl-NL"/>
        </w:rPr>
        <w:t xml:space="preserve">1° qu’il ne se trouve pas dans un des cas d’exclusion obligatoires ou facultatifs, qui doit ou peut entraîner son </w:t>
      </w:r>
      <w:proofErr w:type="gramStart"/>
      <w:r w:rsidRPr="00C57832">
        <w:rPr>
          <w:lang w:val="fr-BE" w:eastAsia="nl-NL"/>
        </w:rPr>
        <w:t>exclusion;</w:t>
      </w:r>
      <w:proofErr w:type="gramEnd"/>
    </w:p>
    <w:p w14:paraId="778993D6" w14:textId="77777777" w:rsidR="007A2736" w:rsidRPr="00C57832" w:rsidRDefault="007A2736" w:rsidP="007A2736">
      <w:pPr>
        <w:rPr>
          <w:lang w:val="fr-BE" w:eastAsia="nl-NL"/>
        </w:rPr>
      </w:pPr>
      <w:r w:rsidRPr="00C57832">
        <w:rPr>
          <w:lang w:val="fr-BE" w:eastAsia="nl-NL"/>
        </w:rPr>
        <w:lastRenderedPageBreak/>
        <w:t xml:space="preserve">2° qu’il répond aux critères de sélection qui ont été établis par le pouvoir adjudicateur dans le présent </w:t>
      </w:r>
      <w:proofErr w:type="gramStart"/>
      <w:r w:rsidRPr="00C57832">
        <w:rPr>
          <w:lang w:val="fr-BE" w:eastAsia="nl-NL"/>
        </w:rPr>
        <w:t>marché;</w:t>
      </w:r>
      <w:proofErr w:type="gramEnd"/>
    </w:p>
    <w:p w14:paraId="73F966A9" w14:textId="17AA4303" w:rsidR="007A2736" w:rsidRPr="00C57832" w:rsidRDefault="007A2736" w:rsidP="007A2736">
      <w:pPr>
        <w:rPr>
          <w:lang w:val="fr-BE" w:eastAsia="nl-NL"/>
        </w:rPr>
      </w:pPr>
      <w:r w:rsidRPr="00C57832">
        <w:rPr>
          <w:lang w:val="fr-BE" w:eastAsia="nl-NL"/>
        </w:rPr>
        <w:t xml:space="preserve">Le pouvoir adjudicateur </w:t>
      </w:r>
      <w:r w:rsidR="001175C0" w:rsidRPr="00C57832">
        <w:rPr>
          <w:lang w:val="fr-BE" w:eastAsia="nl-NL"/>
        </w:rPr>
        <w:t>demandera au</w:t>
      </w:r>
      <w:r w:rsidRPr="00C57832">
        <w:rPr>
          <w:lang w:val="fr-BE" w:eastAsia="nl-NL"/>
        </w:rPr>
        <w:t xml:space="preserve">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176A0139" w14:textId="0ACFE049" w:rsidR="007A2736" w:rsidRPr="00C57832" w:rsidRDefault="007A2736" w:rsidP="00E00E32">
      <w:pPr>
        <w:rPr>
          <w:lang w:val="fr-BE" w:eastAsia="nl-NL"/>
        </w:rPr>
      </w:pPr>
      <w:r w:rsidRPr="00C57832">
        <w:rPr>
          <w:lang w:val="fr-BE" w:eastAsia="nl-NL"/>
        </w:rPr>
        <w:t xml:space="preserve">A l’exception des motifs d’exclusion relatifs aux dettes fiscales et sociales, le soumissionnaire qui se trouve dans l’une des situations d’exclusion obligatoires ou facultatives peut fournir des preuves qu’il a prises des mesures correctives afin de démontrer sa fiabilité. A cette fin, le </w:t>
      </w:r>
      <w:r w:rsidR="001175C0" w:rsidRPr="00C57832">
        <w:rPr>
          <w:lang w:val="fr-BE" w:eastAsia="nl-NL"/>
        </w:rPr>
        <w:t>soumissionnaire</w:t>
      </w:r>
      <w:r w:rsidRPr="00C57832">
        <w:rPr>
          <w:lang w:val="fr-BE" w:eastAsia="nl-NL"/>
        </w:rPr>
        <w:t xml:space="preserve"> prouve d’initiative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p w14:paraId="397C7E25" w14:textId="0323F169" w:rsidR="006B4934" w:rsidRPr="00C57832" w:rsidRDefault="007A2736" w:rsidP="00BB166A">
      <w:pPr>
        <w:pStyle w:val="Titre3"/>
        <w:numPr>
          <w:ilvl w:val="2"/>
          <w:numId w:val="24"/>
        </w:numPr>
        <w:spacing w:after="100" w:afterAutospacing="1"/>
        <w:rPr>
          <w:szCs w:val="20"/>
          <w:lang w:val="fr-BE" w:eastAsia="nl-NL"/>
        </w:rPr>
      </w:pPr>
      <w:r w:rsidRPr="00C57832">
        <w:rPr>
          <w:sz w:val="22"/>
          <w:lang w:val="fr-BE" w:eastAsia="nl-NL"/>
        </w:rPr>
        <w:t xml:space="preserve"> </w:t>
      </w:r>
      <w:r w:rsidR="006B4934" w:rsidRPr="00C57832">
        <w:rPr>
          <w:szCs w:val="20"/>
          <w:lang w:val="fr-BE" w:eastAsia="nl-NL"/>
        </w:rPr>
        <w:t>Critères d’exclusion</w:t>
      </w:r>
      <w:bookmarkEnd w:id="71"/>
      <w:bookmarkEnd w:id="72"/>
    </w:p>
    <w:p w14:paraId="55606A1E" w14:textId="0EBEB2AE" w:rsidR="007A2736" w:rsidRPr="00C57832" w:rsidRDefault="007A2736" w:rsidP="007A2736">
      <w:pPr>
        <w:spacing w:after="120"/>
        <w:jc w:val="both"/>
        <w:rPr>
          <w:lang w:val="fr-BE"/>
        </w:rPr>
      </w:pPr>
      <w:r w:rsidRPr="00C57832">
        <w:rPr>
          <w:lang w:val="fr-BE"/>
        </w:rPr>
        <w:t>Motifs d’exclusion obligatoires (Article 67 de la Loi relative aux marchés publics – articles 61 et 72, § 2 de l’AR Exécution</w:t>
      </w:r>
      <w:r w:rsidR="00A955EE" w:rsidRPr="00C57832">
        <w:rPr>
          <w:lang w:val="fr-BE"/>
        </w:rPr>
        <w:t>) :</w:t>
      </w:r>
    </w:p>
    <w:p w14:paraId="6ED3E886" w14:textId="77777777" w:rsidR="007A2736" w:rsidRPr="00C57832" w:rsidRDefault="007A2736" w:rsidP="007A2736">
      <w:pPr>
        <w:spacing w:after="120"/>
        <w:jc w:val="both"/>
        <w:rPr>
          <w:lang w:val="fr-BE"/>
        </w:rPr>
      </w:pPr>
      <w:r w:rsidRPr="00C57832">
        <w:rPr>
          <w:lang w:val="fr-BE"/>
        </w:rPr>
        <w:t xml:space="preserve">§1. Sauf si le soumissionnaire montre dans son offre avoir pris des mesures correctives suffisantes pour démontrer sa fiabilité, l’Adjudicateur exclut un soumissionnaire de la participation à la procédure de passation, à quelque stade de la procédure que ce soit, s’il constate ou est informé de toute autre façon que ce soumissionnaire a fait l’objet d’une condamnation par une décision judiciaire ayant force de chose jugée pour un des délits suivants : </w:t>
      </w:r>
    </w:p>
    <w:p w14:paraId="528C3E89" w14:textId="77777777" w:rsidR="007A2736" w:rsidRPr="00C57832" w:rsidRDefault="007A2736" w:rsidP="007A2736">
      <w:pPr>
        <w:spacing w:after="120"/>
        <w:jc w:val="both"/>
        <w:rPr>
          <w:lang w:val="fr-BE"/>
        </w:rPr>
      </w:pPr>
    </w:p>
    <w:p w14:paraId="6947F04C" w14:textId="77777777" w:rsidR="007A2736" w:rsidRPr="00C57832" w:rsidRDefault="007A2736" w:rsidP="007A2736">
      <w:pPr>
        <w:spacing w:after="120"/>
        <w:jc w:val="both"/>
        <w:rPr>
          <w:lang w:val="fr-BE"/>
        </w:rPr>
      </w:pPr>
      <w:r w:rsidRPr="00C57832">
        <w:rPr>
          <w:lang w:val="fr-BE"/>
        </w:rPr>
        <w:t xml:space="preserve">1° participation à une organisation criminelle telle que visée à l’article 324bis du Code pénal ou l’article 2 de la Décision-cadre 2008/841/JAI du Conseil du 24 octobre 2008 relative à la lutte contre la criminalité organisée ; </w:t>
      </w:r>
    </w:p>
    <w:p w14:paraId="07DA8E58" w14:textId="77777777" w:rsidR="007A2736" w:rsidRPr="00C57832" w:rsidRDefault="007A2736" w:rsidP="007A2736">
      <w:pPr>
        <w:spacing w:after="120"/>
        <w:jc w:val="both"/>
        <w:rPr>
          <w:lang w:val="fr-BE"/>
        </w:rPr>
      </w:pPr>
    </w:p>
    <w:p w14:paraId="66938DAC" w14:textId="77777777" w:rsidR="007A2736" w:rsidRPr="00C57832" w:rsidRDefault="007A2736" w:rsidP="007A2736">
      <w:pPr>
        <w:spacing w:after="120"/>
        <w:jc w:val="both"/>
        <w:rPr>
          <w:lang w:val="fr-BE"/>
        </w:rPr>
      </w:pPr>
      <w:r w:rsidRPr="00C57832">
        <w:rPr>
          <w:lang w:val="fr-BE"/>
        </w:rPr>
        <w:t xml:space="preserve">2° corruption telle que visée aux articles 246 et 250 du Code pénal ou l’article 3 de la Convention relative à la lutte contre la corruption impliquant des fonctionnaires des Communautés européennes ou des fonctionnaires des États membres de l’Union européenne ou l’article 2.1 de la Décision-cadre 2003/568/JAI du Conseil du 22 juillet 2003 relative à la lutte contre la corruption dans le secteur privé ; </w:t>
      </w:r>
    </w:p>
    <w:p w14:paraId="45AEF92B" w14:textId="77777777" w:rsidR="007A2736" w:rsidRPr="00C57832" w:rsidRDefault="007A2736" w:rsidP="007A2736">
      <w:pPr>
        <w:spacing w:after="120"/>
        <w:jc w:val="both"/>
        <w:rPr>
          <w:lang w:val="fr-BE"/>
        </w:rPr>
      </w:pPr>
    </w:p>
    <w:p w14:paraId="6499BFDC" w14:textId="77777777" w:rsidR="007A2736" w:rsidRPr="00C57832" w:rsidRDefault="007A2736" w:rsidP="007A2736">
      <w:pPr>
        <w:spacing w:after="120"/>
        <w:jc w:val="both"/>
        <w:rPr>
          <w:lang w:val="fr-BE"/>
        </w:rPr>
      </w:pPr>
      <w:r w:rsidRPr="00C57832">
        <w:rPr>
          <w:lang w:val="fr-BE"/>
        </w:rPr>
        <w:t xml:space="preserve">3° fraude telle que visée à l’article 1 de la convention relative à la protection des intérêts financiers des Communautés européennes, approuvée par la loi du 17 février 2002 ; </w:t>
      </w:r>
    </w:p>
    <w:p w14:paraId="79624192" w14:textId="77777777" w:rsidR="007A2736" w:rsidRPr="00C57832" w:rsidRDefault="007A2736" w:rsidP="007A2736">
      <w:pPr>
        <w:spacing w:after="120"/>
        <w:jc w:val="both"/>
        <w:rPr>
          <w:lang w:val="fr-BE"/>
        </w:rPr>
      </w:pPr>
    </w:p>
    <w:p w14:paraId="497A7866" w14:textId="77777777" w:rsidR="007A2736" w:rsidRPr="00C57832" w:rsidRDefault="007A2736" w:rsidP="007A2736">
      <w:pPr>
        <w:spacing w:after="120"/>
        <w:jc w:val="both"/>
        <w:rPr>
          <w:lang w:val="fr-BE"/>
        </w:rPr>
      </w:pPr>
      <w:r w:rsidRPr="00C57832">
        <w:rPr>
          <w:lang w:val="fr-BE"/>
        </w:rPr>
        <w:t xml:space="preserve">4° infractions terroristes ou faits punissables liés à des activités terroristes comme visé à l’article 137 du Code pénal ou au sens des articles 1 ou 3 de la Décision-cadre 2002/475/JAI du Conseil du 13 juin 2002 relative à la lutte contre le terrorisme, ou incitation, complicité ou tentative de commettre une telle infraction ou un tel acte punissable comme visé à l’article 4 de ladite décision-cadre ; </w:t>
      </w:r>
    </w:p>
    <w:p w14:paraId="7A69AC5B" w14:textId="77777777" w:rsidR="007A2736" w:rsidRPr="00C57832" w:rsidRDefault="007A2736" w:rsidP="007A2736">
      <w:pPr>
        <w:spacing w:after="120"/>
        <w:jc w:val="both"/>
        <w:rPr>
          <w:lang w:val="fr-BE"/>
        </w:rPr>
      </w:pPr>
    </w:p>
    <w:p w14:paraId="43060DF4" w14:textId="77777777" w:rsidR="007A2736" w:rsidRPr="00C57832" w:rsidRDefault="007A2736" w:rsidP="007A2736">
      <w:pPr>
        <w:spacing w:after="120"/>
        <w:jc w:val="both"/>
        <w:rPr>
          <w:lang w:val="fr-BE"/>
        </w:rPr>
      </w:pPr>
      <w:r w:rsidRPr="00C57832">
        <w:rPr>
          <w:lang w:val="fr-BE"/>
        </w:rPr>
        <w:lastRenderedPageBreak/>
        <w:t xml:space="preserve">5° blanchiment d’argent ou financement du terrorisme comme visé à l’article 5 de la loi du 11 janvier 1993 relative à la prévention de l’utilisation du système financier aux fins du blanchiment de capitaux et du financement du terrorisme ou au sens de l’article 1 de la Directive 2005/60/CE du Parlement européen et du Conseil du 26 octobre 2005 relative à la prévention de l’utilisation du système financier aux fins du blanchiment de capitaux et du financement du terrorisme ; </w:t>
      </w:r>
    </w:p>
    <w:p w14:paraId="5A521CE2" w14:textId="77777777" w:rsidR="007A2736" w:rsidRPr="00C57832" w:rsidRDefault="007A2736" w:rsidP="007A2736">
      <w:pPr>
        <w:spacing w:after="120"/>
        <w:jc w:val="both"/>
        <w:rPr>
          <w:lang w:val="fr-BE"/>
        </w:rPr>
      </w:pPr>
    </w:p>
    <w:p w14:paraId="1B2B02BD" w14:textId="77777777" w:rsidR="007A2736" w:rsidRPr="00C57832" w:rsidRDefault="007A2736" w:rsidP="007A2736">
      <w:pPr>
        <w:spacing w:after="120"/>
        <w:jc w:val="both"/>
        <w:rPr>
          <w:lang w:val="fr-BE"/>
        </w:rPr>
      </w:pPr>
      <w:r w:rsidRPr="00C57832">
        <w:rPr>
          <w:lang w:val="fr-BE"/>
        </w:rPr>
        <w:t xml:space="preserve">6° travail des enfants et autres formes de traite des êtres humains comme visé à l’article 433quinquies du Code pénal ou au sens de l’article 2 de la Directive 2011/36/UE du Parlement européen et du Conseil du 5 avril 2011 concernant la prévention de la traite des êtres humains et la lutte contre ce phénomène ainsi que la protection des victimes et remplaçant la Décision-cadre 2002/629/JAI du Conseil ; </w:t>
      </w:r>
    </w:p>
    <w:p w14:paraId="5C14D111" w14:textId="77777777" w:rsidR="007A2736" w:rsidRPr="00C57832" w:rsidRDefault="007A2736" w:rsidP="007A2736">
      <w:pPr>
        <w:spacing w:after="120"/>
        <w:jc w:val="both"/>
        <w:rPr>
          <w:lang w:val="fr-BE"/>
        </w:rPr>
      </w:pPr>
    </w:p>
    <w:p w14:paraId="25A57329" w14:textId="77777777" w:rsidR="007A2736" w:rsidRPr="00C57832" w:rsidRDefault="007A2736" w:rsidP="007A2736">
      <w:pPr>
        <w:spacing w:after="120"/>
        <w:jc w:val="both"/>
        <w:rPr>
          <w:lang w:val="fr-BE"/>
        </w:rPr>
      </w:pPr>
      <w:r w:rsidRPr="00C57832">
        <w:rPr>
          <w:lang w:val="fr-BE"/>
        </w:rPr>
        <w:t xml:space="preserve">7° occupation de ressortissants de pays tiers en séjour illégal dans le pays au sens de l’article 35/7 de la loi du 12 avril 1965 concernant la protection de la rémunération des travailleurs ou au sens de la loi du 30 avril 1999 relative à l’occupation des travailleurs étrangers. </w:t>
      </w:r>
    </w:p>
    <w:p w14:paraId="573FBAA5" w14:textId="77777777" w:rsidR="007A2736" w:rsidRPr="00C57832" w:rsidRDefault="007A2736" w:rsidP="007A2736">
      <w:pPr>
        <w:spacing w:after="120"/>
        <w:jc w:val="both"/>
        <w:rPr>
          <w:lang w:val="fr-BE"/>
        </w:rPr>
      </w:pPr>
    </w:p>
    <w:p w14:paraId="42E8221C" w14:textId="77777777" w:rsidR="007A2736" w:rsidRPr="00C57832" w:rsidRDefault="007A2736" w:rsidP="007A2736">
      <w:pPr>
        <w:spacing w:after="120"/>
        <w:jc w:val="both"/>
        <w:rPr>
          <w:lang w:val="fr-BE"/>
        </w:rPr>
      </w:pPr>
      <w:r w:rsidRPr="00C57832">
        <w:rPr>
          <w:lang w:val="fr-BE"/>
        </w:rPr>
        <w:t xml:space="preserve">Les exclusions de participation aux marchés publics visées sous 1° à 6° valent pour une période de cinq ans à partir de la date du jugement. L’exclusion de participation aux marchés publics visée sous 7° vaut pour une période de cinq ans à partir de la fin de l’infraction. </w:t>
      </w:r>
    </w:p>
    <w:p w14:paraId="5E7161AA" w14:textId="77777777" w:rsidR="007A2736" w:rsidRPr="00C57832" w:rsidRDefault="007A2736" w:rsidP="007A2736">
      <w:pPr>
        <w:spacing w:after="120"/>
        <w:jc w:val="both"/>
        <w:rPr>
          <w:lang w:val="fr-BE"/>
        </w:rPr>
      </w:pPr>
    </w:p>
    <w:p w14:paraId="3EBC9A43" w14:textId="5B600A78" w:rsidR="007A2736" w:rsidRPr="00C57832" w:rsidRDefault="007A2736" w:rsidP="007A2736">
      <w:pPr>
        <w:spacing w:after="120"/>
        <w:jc w:val="both"/>
        <w:rPr>
          <w:lang w:val="fr-BE"/>
        </w:rPr>
      </w:pPr>
      <w:r w:rsidRPr="00C57832">
        <w:rPr>
          <w:lang w:val="fr-BE"/>
        </w:rPr>
        <w:t xml:space="preserve">§2. En dérogation du premier paragraphe, l’Adjudicateur exclut, même en absence d’un jugement ayant force de chose jugée, le soumissionnaire qui, en tant qu’employeur, a employé des ressortissants de pays tiers en séjour illégal dès l’instant </w:t>
      </w:r>
      <w:r w:rsidR="00546783" w:rsidRPr="00C57832">
        <w:rPr>
          <w:lang w:val="fr-BE"/>
        </w:rPr>
        <w:t>où</w:t>
      </w:r>
      <w:r w:rsidRPr="00C57832">
        <w:rPr>
          <w:lang w:val="fr-BE"/>
        </w:rPr>
        <w:t xml:space="preserve"> cette infraction a été constatée par une décision administrative ou judiciaire, en ce compris une information écrite rédigée en exécution de l’article 49/2 du Code social. Cette dérogation ne retire pas la possibilité pour le soumissionnaire d’invoquer, le cas échéant, des mesures correctives. </w:t>
      </w:r>
    </w:p>
    <w:p w14:paraId="6476DE92" w14:textId="77777777" w:rsidR="007A2736" w:rsidRPr="00C57832" w:rsidRDefault="007A2736" w:rsidP="007A2736">
      <w:pPr>
        <w:spacing w:after="120"/>
        <w:jc w:val="both"/>
        <w:rPr>
          <w:lang w:val="fr-BE"/>
        </w:rPr>
      </w:pPr>
    </w:p>
    <w:p w14:paraId="3F4565E6" w14:textId="77777777" w:rsidR="007A2736" w:rsidRPr="00C57832" w:rsidRDefault="007A2736" w:rsidP="007A2736">
      <w:pPr>
        <w:spacing w:after="120"/>
        <w:jc w:val="both"/>
        <w:rPr>
          <w:lang w:val="fr-BE"/>
        </w:rPr>
      </w:pPr>
      <w:r w:rsidRPr="00C57832">
        <w:rPr>
          <w:lang w:val="fr-BE"/>
        </w:rPr>
        <w:t xml:space="preserve">§3. En dérogation du premier paragraphe, l’Adjudicateur peut, à titre exceptionnel, autoriser une dérogation à l’exclusion obligatoire pour des motifs impérieux d’intérêt général, moyennant l’accord préalable et écrit de la CIE. </w:t>
      </w:r>
    </w:p>
    <w:p w14:paraId="646300BE" w14:textId="77777777" w:rsidR="007A2736" w:rsidRPr="00C57832" w:rsidRDefault="007A2736" w:rsidP="007A2736">
      <w:pPr>
        <w:spacing w:after="120"/>
        <w:jc w:val="both"/>
        <w:rPr>
          <w:lang w:val="fr-BE"/>
        </w:rPr>
      </w:pPr>
    </w:p>
    <w:p w14:paraId="45207135" w14:textId="77777777" w:rsidR="007A2736" w:rsidRPr="00C57832" w:rsidRDefault="007A2736" w:rsidP="007A2736">
      <w:pPr>
        <w:spacing w:after="120"/>
        <w:jc w:val="both"/>
        <w:rPr>
          <w:lang w:val="fr-BE"/>
        </w:rPr>
      </w:pPr>
      <w:r w:rsidRPr="00C57832">
        <w:rPr>
          <w:lang w:val="fr-BE"/>
        </w:rPr>
        <w:t xml:space="preserve">§4. L’obligation d’exclusion du soumissionnaire s’applique aussi lorsque la personne jugée par décision irrévocable est membre de l’organe d’administration, de direction ou de contrôle du soumissionnaire ou y exerce une compétence de représentation, décision ou contrôle. S’agissant d’une infraction visée au deuxième paragraphe et en l’absence du jugement irrévocable susmentionné, la même obligation d’exclusion s’applique lorsque la personne concernée est désignée dans une décision administrative ou judiciaire comme étant une personne chez qui une infraction a été constatée sur le plan de l’occupation de ressortissants de pays tiers en séjour illégal et est membre de l’organe d’administration, de direction ou de contrôle du soumissionnaire ou y exerce une compétence de représentation, décision ou contrôle. </w:t>
      </w:r>
    </w:p>
    <w:p w14:paraId="08A3E595" w14:textId="77777777" w:rsidR="007A2736" w:rsidRPr="00C57832" w:rsidRDefault="007A2736" w:rsidP="007A2736">
      <w:pPr>
        <w:spacing w:after="120"/>
        <w:jc w:val="both"/>
        <w:rPr>
          <w:lang w:val="fr-BE"/>
        </w:rPr>
      </w:pPr>
    </w:p>
    <w:p w14:paraId="12AB4B1D" w14:textId="77777777" w:rsidR="007A2736" w:rsidRPr="00C57832" w:rsidRDefault="007A2736" w:rsidP="007A2736">
      <w:pPr>
        <w:spacing w:after="120"/>
        <w:jc w:val="both"/>
        <w:rPr>
          <w:lang w:val="fr-BE"/>
        </w:rPr>
      </w:pPr>
      <w:r w:rsidRPr="00C57832">
        <w:rPr>
          <w:lang w:val="fr-BE"/>
        </w:rPr>
        <w:t xml:space="preserve">Motif d’exclusion liée aux dettes fiscales et sociales (Article 68 de la Loi relative aux marchés publics – articles 62 et 63 de l’AR Passation) </w:t>
      </w:r>
    </w:p>
    <w:p w14:paraId="506D6409" w14:textId="77777777" w:rsidR="007A2736" w:rsidRPr="00C57832" w:rsidRDefault="007A2736" w:rsidP="007A2736">
      <w:pPr>
        <w:spacing w:after="120"/>
        <w:jc w:val="both"/>
        <w:rPr>
          <w:lang w:val="fr-BE"/>
        </w:rPr>
      </w:pPr>
      <w:r w:rsidRPr="00C57832">
        <w:rPr>
          <w:lang w:val="fr-BE"/>
        </w:rPr>
        <w:t xml:space="preserve">§1. Sauf pour motifs impérieux d’intérêt général et hormis le cas indiqué au paragraphe 3, l’Adjudicateur exclut un soumissionnaire de la participation à la procédure de passation, à quelque stade de la procédure que ce soit, lorsque le soumissionnaire s’avère ne pas satisfaire à ses </w:t>
      </w:r>
      <w:r w:rsidRPr="00C57832">
        <w:rPr>
          <w:lang w:val="fr-BE"/>
        </w:rPr>
        <w:lastRenderedPageBreak/>
        <w:t xml:space="preserve">obligations de paiement de ses impôts d’une part ou des contributions à la sécurité sociale d’autre part, à sauf : </w:t>
      </w:r>
    </w:p>
    <w:p w14:paraId="0FA39892" w14:textId="77777777" w:rsidR="007A2736" w:rsidRPr="00C57832" w:rsidRDefault="007A2736" w:rsidP="007A2736">
      <w:pPr>
        <w:spacing w:after="120"/>
        <w:jc w:val="both"/>
        <w:rPr>
          <w:lang w:val="fr-BE"/>
        </w:rPr>
      </w:pPr>
      <w:r w:rsidRPr="00C57832">
        <w:rPr>
          <w:lang w:val="fr-BE"/>
        </w:rPr>
        <w:t xml:space="preserve">1° lorsque le soumissionnaire n’a pas de dette supérieure à 3 000 euros ou qu’il a obtenu pour cette dette des délais de paiement qu’il respecte strictement. </w:t>
      </w:r>
    </w:p>
    <w:p w14:paraId="1220D0B7" w14:textId="77777777" w:rsidR="007A2736" w:rsidRPr="00C57832" w:rsidRDefault="007A2736" w:rsidP="007A2736">
      <w:pPr>
        <w:spacing w:after="120"/>
        <w:jc w:val="both"/>
        <w:rPr>
          <w:lang w:val="fr-BE"/>
        </w:rPr>
      </w:pPr>
    </w:p>
    <w:p w14:paraId="0FF3AE63" w14:textId="77777777" w:rsidR="007A2736" w:rsidRPr="00C57832" w:rsidRDefault="007A2736" w:rsidP="007A2736">
      <w:pPr>
        <w:spacing w:after="120"/>
        <w:jc w:val="both"/>
        <w:rPr>
          <w:lang w:val="fr-BE"/>
        </w:rPr>
      </w:pPr>
      <w:r w:rsidRPr="00C57832">
        <w:rPr>
          <w:lang w:val="fr-BE"/>
        </w:rPr>
        <w:t xml:space="preserve">2° lorsque le soumissionnaire peut démontrer qu’il possède, sur un pouvoir adjudicateur ou une entreprise publique, une ou plusieurs créances certaines, exigibles et libres de tout engagement à l’égard de tiers. Ces créances doivent être au minimum égales aux sommes en retard de paiement des dettes fiscales ou sociales diminuées de 3 000 euros. </w:t>
      </w:r>
    </w:p>
    <w:p w14:paraId="1275BE65" w14:textId="77777777" w:rsidR="007A2736" w:rsidRPr="00C57832" w:rsidRDefault="007A2736" w:rsidP="007A2736">
      <w:pPr>
        <w:spacing w:after="120"/>
        <w:jc w:val="both"/>
        <w:rPr>
          <w:lang w:val="fr-BE"/>
        </w:rPr>
      </w:pPr>
    </w:p>
    <w:p w14:paraId="4A15E588" w14:textId="77777777" w:rsidR="007A2736" w:rsidRPr="00C57832" w:rsidRDefault="007A2736" w:rsidP="007A2736">
      <w:pPr>
        <w:spacing w:after="120"/>
        <w:jc w:val="both"/>
        <w:rPr>
          <w:lang w:val="fr-BE"/>
        </w:rPr>
      </w:pPr>
      <w:r w:rsidRPr="00C57832">
        <w:rPr>
          <w:lang w:val="fr-BE"/>
        </w:rPr>
        <w:t xml:space="preserve">§2. L’Adjudicateur vérifie la situation sur le plan des dettes fiscales et sociales des soumissionnaires sur la base des attestations obligatoirement apportées par le soumissionnaire. Le soumissionnaire doit présenter une attestation récente dont il ressort qu’il satisfait à ces obligations. Il en est de même pour les soumissionnaires d’un autre état membre. </w:t>
      </w:r>
    </w:p>
    <w:p w14:paraId="45137F21" w14:textId="77777777" w:rsidR="007A2736" w:rsidRPr="00C57832" w:rsidRDefault="007A2736" w:rsidP="007A2736">
      <w:pPr>
        <w:spacing w:after="120"/>
        <w:jc w:val="both"/>
        <w:rPr>
          <w:lang w:val="fr-BE"/>
        </w:rPr>
      </w:pPr>
    </w:p>
    <w:p w14:paraId="1800DDF9" w14:textId="77777777" w:rsidR="007A2736" w:rsidRPr="00C57832" w:rsidRDefault="007A2736" w:rsidP="007A2736">
      <w:pPr>
        <w:spacing w:after="120"/>
        <w:jc w:val="both"/>
        <w:rPr>
          <w:lang w:val="fr-BE"/>
        </w:rPr>
      </w:pPr>
      <w:r w:rsidRPr="00C57832">
        <w:rPr>
          <w:lang w:val="fr-BE"/>
        </w:rPr>
        <w:t xml:space="preserve">Si l’Adjudicateur constate que les dettes fiscales ou sociales dépassent le montant de 3 000 euros, il demande au soumissionnaire si celui-ci se trouve dans une des situations visées au premier paragraphe, sous 1° ou 2°. </w:t>
      </w:r>
    </w:p>
    <w:p w14:paraId="745049C8" w14:textId="77777777" w:rsidR="007A2736" w:rsidRPr="00C57832" w:rsidRDefault="007A2736" w:rsidP="007A2736">
      <w:pPr>
        <w:spacing w:after="120"/>
        <w:jc w:val="both"/>
        <w:rPr>
          <w:lang w:val="fr-BE"/>
        </w:rPr>
      </w:pPr>
    </w:p>
    <w:p w14:paraId="472B83ED" w14:textId="77777777" w:rsidR="007A2736" w:rsidRPr="00C57832" w:rsidRDefault="007A2736" w:rsidP="007A2736">
      <w:pPr>
        <w:spacing w:after="120"/>
        <w:jc w:val="both"/>
        <w:rPr>
          <w:lang w:val="fr-BE"/>
        </w:rPr>
      </w:pPr>
      <w:r w:rsidRPr="00C57832">
        <w:rPr>
          <w:lang w:val="fr-BE"/>
        </w:rPr>
        <w:t xml:space="preserve">L’Adjudicateur donne cependant à chaque soumissionnaire la possibilité de se mettre en règle, durant la procédure de passation, par rapport à ses obligations sociales et fiscales après avoir constaté une première fois que le soumissionnaire ne satisfaisait pas aux exigences sur ce plan. Il en notifie le soumissionnaire. À partir de cette notification, l’Adjudicateur donne au soumissionnaire un délai de cinq jours ouvrables pour apporter la preuve de sa régularisation. Il ne peut être fait appel qu’une seule fois à cette régularisation. Ce délai commence le lendemain de la notification. Pour le calcul de ce délai, le règlement n° 1182/71 du Conseil du 3 juin 1971 portant détermination des règles applicables aux délais, aux dates et aux termes n’est pas d’application. </w:t>
      </w:r>
    </w:p>
    <w:p w14:paraId="6B71081E" w14:textId="77777777" w:rsidR="007A2736" w:rsidRPr="00C57832" w:rsidRDefault="007A2736" w:rsidP="007A2736">
      <w:pPr>
        <w:spacing w:after="120"/>
        <w:jc w:val="both"/>
        <w:rPr>
          <w:lang w:val="fr-BE"/>
        </w:rPr>
      </w:pPr>
    </w:p>
    <w:p w14:paraId="6A514BC0" w14:textId="77777777" w:rsidR="007A2736" w:rsidRPr="00C57832" w:rsidRDefault="007A2736" w:rsidP="007A2736">
      <w:pPr>
        <w:spacing w:after="120"/>
        <w:jc w:val="both"/>
        <w:rPr>
          <w:lang w:val="fr-BE"/>
        </w:rPr>
      </w:pPr>
      <w:r w:rsidRPr="00C57832">
        <w:rPr>
          <w:lang w:val="fr-BE"/>
        </w:rPr>
        <w:t xml:space="preserve">§3. Les dispositions ci-dessus ne sont plus d’application si le soumissionnaire a rempli ses obligations en payant les impôts ou contributions de sécurité sociale dus, en ce compris les intérêts ou amendes courants, le cas échéant, ou a conclu pour ceux-ci un règlement de paiement contraignant, pour autant que ce paiement ou la conclusion du règlement contraignant ait eu lieu avant la remise des offres. </w:t>
      </w:r>
    </w:p>
    <w:p w14:paraId="4BD3F178" w14:textId="77777777" w:rsidR="007A2736" w:rsidRPr="00C57832" w:rsidRDefault="007A2736" w:rsidP="007A2736">
      <w:pPr>
        <w:spacing w:after="120"/>
        <w:jc w:val="both"/>
        <w:rPr>
          <w:lang w:val="fr-BE"/>
        </w:rPr>
      </w:pPr>
    </w:p>
    <w:p w14:paraId="1CE377F1" w14:textId="77777777" w:rsidR="007A2736" w:rsidRPr="00C57832" w:rsidRDefault="007A2736" w:rsidP="007A2736">
      <w:pPr>
        <w:spacing w:after="120"/>
        <w:jc w:val="both"/>
        <w:rPr>
          <w:lang w:val="fr-BE"/>
        </w:rPr>
      </w:pPr>
      <w:r w:rsidRPr="00C57832">
        <w:rPr>
          <w:lang w:val="fr-BE"/>
        </w:rPr>
        <w:t xml:space="preserve">Motifs d’exclusion facultatifs (Article 69 de la Loi relative aux marchés publics) </w:t>
      </w:r>
    </w:p>
    <w:p w14:paraId="5D7D08E1" w14:textId="77777777" w:rsidR="007A2736" w:rsidRPr="00C57832" w:rsidRDefault="007A2736" w:rsidP="007A2736">
      <w:pPr>
        <w:spacing w:after="120"/>
        <w:jc w:val="both"/>
        <w:rPr>
          <w:lang w:val="fr-BE"/>
        </w:rPr>
      </w:pPr>
      <w:r w:rsidRPr="00C57832">
        <w:rPr>
          <w:lang w:val="fr-BE"/>
        </w:rPr>
        <w:t xml:space="preserve">§1. Sauf lorsque le soumissionnaire montre dans son offre qu’il a pris des mesures correctives suffisantes pour démontrer sa fiabilité, l’Adjudicateur peut, à quelque stade que ce soit de la procédure de passation, exclure un soumissionnaire de la participation à cette procédure, dans les cas suivants : </w:t>
      </w:r>
    </w:p>
    <w:p w14:paraId="20CA7FA6" w14:textId="77777777" w:rsidR="007A2736" w:rsidRPr="00C57832" w:rsidRDefault="007A2736" w:rsidP="007A2736">
      <w:pPr>
        <w:spacing w:after="120"/>
        <w:jc w:val="both"/>
        <w:rPr>
          <w:lang w:val="fr-BE"/>
        </w:rPr>
      </w:pPr>
    </w:p>
    <w:p w14:paraId="138FC9F7" w14:textId="77777777" w:rsidR="007A2736" w:rsidRPr="00C57832" w:rsidRDefault="007A2736" w:rsidP="007A2736">
      <w:pPr>
        <w:spacing w:after="120"/>
        <w:jc w:val="both"/>
        <w:rPr>
          <w:lang w:val="fr-BE"/>
        </w:rPr>
      </w:pPr>
      <w:r w:rsidRPr="00C57832">
        <w:rPr>
          <w:lang w:val="fr-BE"/>
        </w:rPr>
        <w:t xml:space="preserve">1° si l’Adjudicateur montre, par tout moyen approprié, que le soumissionnaire n’a pas satisfait aux obligations applicables mentionnées dans l’article 7 de la Loi relative aux marchés publics en matière de droit environnemental, social et du travail ; </w:t>
      </w:r>
    </w:p>
    <w:p w14:paraId="0E43C739" w14:textId="77777777" w:rsidR="007A2736" w:rsidRPr="00C57832" w:rsidRDefault="007A2736" w:rsidP="007A2736">
      <w:pPr>
        <w:spacing w:after="120"/>
        <w:jc w:val="both"/>
        <w:rPr>
          <w:lang w:val="fr-BE"/>
        </w:rPr>
      </w:pPr>
    </w:p>
    <w:p w14:paraId="593E9BEA" w14:textId="77777777" w:rsidR="007A2736" w:rsidRPr="00C57832" w:rsidRDefault="007A2736" w:rsidP="007A2736">
      <w:pPr>
        <w:spacing w:after="120"/>
        <w:jc w:val="both"/>
        <w:rPr>
          <w:lang w:val="fr-BE"/>
        </w:rPr>
      </w:pPr>
      <w:r w:rsidRPr="00C57832">
        <w:rPr>
          <w:lang w:val="fr-BE"/>
        </w:rPr>
        <w:lastRenderedPageBreak/>
        <w:t xml:space="preserve">2° lorsque le soumissionnaire tombe en état de faillite ou de liquidation, a cessé ses activités, subit une réorganisation judiciaire, ou a fait déclaration de faillite, fait l’objet d’une procédure de liquidation ou de réorganisation judiciaire ou se trouve dans toute situation analogue résultant d'une procédure de même nature existant dans d'autres réglementations nationales ; </w:t>
      </w:r>
    </w:p>
    <w:p w14:paraId="51F0416A" w14:textId="77777777" w:rsidR="007A2736" w:rsidRPr="00C57832" w:rsidRDefault="007A2736" w:rsidP="007A2736">
      <w:pPr>
        <w:spacing w:after="120"/>
        <w:jc w:val="both"/>
        <w:rPr>
          <w:lang w:val="fr-BE"/>
        </w:rPr>
      </w:pPr>
    </w:p>
    <w:p w14:paraId="090A5E72" w14:textId="77777777" w:rsidR="007A2736" w:rsidRPr="00C57832" w:rsidRDefault="007A2736" w:rsidP="007A2736">
      <w:pPr>
        <w:spacing w:after="120"/>
        <w:jc w:val="both"/>
        <w:rPr>
          <w:lang w:val="fr-BE"/>
        </w:rPr>
      </w:pPr>
      <w:r w:rsidRPr="00C57832">
        <w:rPr>
          <w:lang w:val="fr-BE"/>
        </w:rPr>
        <w:t xml:space="preserve">3° lorsque l’Adjudicateur peut démontrer, par tout moyen approprié, que, dans l’exercice de son métier, le soumissionnaire a commis une faute grave de nature à mettre en doute son intégrité ; </w:t>
      </w:r>
    </w:p>
    <w:p w14:paraId="6DD5F435" w14:textId="77777777" w:rsidR="007A2736" w:rsidRPr="00C57832" w:rsidRDefault="007A2736" w:rsidP="007A2736">
      <w:pPr>
        <w:spacing w:after="120"/>
        <w:jc w:val="both"/>
        <w:rPr>
          <w:lang w:val="fr-BE"/>
        </w:rPr>
      </w:pPr>
    </w:p>
    <w:p w14:paraId="44068951" w14:textId="77777777" w:rsidR="007A2736" w:rsidRPr="00C57832" w:rsidRDefault="007A2736" w:rsidP="007A2736">
      <w:pPr>
        <w:spacing w:after="120"/>
        <w:jc w:val="both"/>
        <w:rPr>
          <w:lang w:val="fr-BE"/>
        </w:rPr>
      </w:pPr>
      <w:r w:rsidRPr="00C57832">
        <w:rPr>
          <w:lang w:val="fr-BE"/>
        </w:rPr>
        <w:t xml:space="preserve">4° lorsque l’Adjudicateur dispose d’indications suffisamment plausibles pour conclure que le soumissionnaire aurait posé des actes, conclu des accords ou passé des conventions visant à fausser la concurrence au sens de l’article 5, alinéa 2 de la Loi relative aux marchés publics ; </w:t>
      </w:r>
    </w:p>
    <w:p w14:paraId="49CED034" w14:textId="77777777" w:rsidR="007A2736" w:rsidRPr="00C57832" w:rsidRDefault="007A2736" w:rsidP="007A2736">
      <w:pPr>
        <w:spacing w:after="120"/>
        <w:jc w:val="both"/>
        <w:rPr>
          <w:lang w:val="fr-BE"/>
        </w:rPr>
      </w:pPr>
    </w:p>
    <w:p w14:paraId="1E162453" w14:textId="77777777" w:rsidR="007A2736" w:rsidRPr="00C57832" w:rsidRDefault="007A2736" w:rsidP="007A2736">
      <w:pPr>
        <w:spacing w:after="120"/>
        <w:jc w:val="both"/>
        <w:rPr>
          <w:lang w:val="fr-BE"/>
        </w:rPr>
      </w:pPr>
      <w:r w:rsidRPr="00C57832">
        <w:rPr>
          <w:lang w:val="fr-BE"/>
        </w:rPr>
        <w:t xml:space="preserve">5° lorsqu’un conflit d’intérêts au sens de l’article 6 de la Loi relative aux marchés publics ne peut pas être correctement résolu par d’autres mesures de moindre ampleur ; </w:t>
      </w:r>
    </w:p>
    <w:p w14:paraId="527C37ED" w14:textId="77777777" w:rsidR="007A2736" w:rsidRPr="00C57832" w:rsidRDefault="007A2736" w:rsidP="007A2736">
      <w:pPr>
        <w:spacing w:after="120"/>
        <w:jc w:val="both"/>
        <w:rPr>
          <w:lang w:val="fr-BE"/>
        </w:rPr>
      </w:pPr>
    </w:p>
    <w:p w14:paraId="027A6CA6" w14:textId="575F9EA9" w:rsidR="007A2736" w:rsidRDefault="007A2736" w:rsidP="007A2736">
      <w:pPr>
        <w:spacing w:after="120"/>
        <w:jc w:val="both"/>
        <w:rPr>
          <w:lang w:val="fr-BE"/>
        </w:rPr>
      </w:pPr>
      <w:r w:rsidRPr="00C57832">
        <w:rPr>
          <w:lang w:val="fr-BE"/>
        </w:rPr>
        <w:t xml:space="preserve">6° lorsque, en raison de l’implication antérieure du soumissionnaire à la préparation de la procédure de passation, s’est produite une distorsion de la concurrence telle que visée à l’article 52 de la Loi relative aux marchés publics qui ne peut pas être résolue par des mesures de moindre ampleur1 ; </w:t>
      </w:r>
    </w:p>
    <w:p w14:paraId="70F45A8E" w14:textId="77777777" w:rsidR="007A2736" w:rsidRPr="00C57832" w:rsidRDefault="007A2736" w:rsidP="007A2736">
      <w:pPr>
        <w:spacing w:after="120"/>
        <w:jc w:val="both"/>
        <w:rPr>
          <w:lang w:val="fr-BE"/>
        </w:rPr>
      </w:pPr>
    </w:p>
    <w:p w14:paraId="6942F49E" w14:textId="77777777" w:rsidR="007A2736" w:rsidRPr="00C57832" w:rsidRDefault="007A2736" w:rsidP="007A2736">
      <w:pPr>
        <w:spacing w:after="120"/>
        <w:jc w:val="both"/>
        <w:rPr>
          <w:lang w:val="fr-BE"/>
        </w:rPr>
      </w:pPr>
      <w:r w:rsidRPr="00C57832">
        <w:rPr>
          <w:lang w:val="fr-BE"/>
        </w:rPr>
        <w:t xml:space="preserve">7° lorsque le soumissionnaire a fait preuve de manquements considérables ou incessants dans l’exécution d’une prescription essentielle lors d’un marché public antérieur, d’un marché antérieur avec un adjudicateur ou d’un contrat de concession antérieur et que cela a mené à la prise de mesures d’office, à des dommages et intérêts ou à d’autres sanctions similaires ; </w:t>
      </w:r>
    </w:p>
    <w:p w14:paraId="48AF3521" w14:textId="77777777" w:rsidR="007A2736" w:rsidRPr="00C57832" w:rsidRDefault="007A2736" w:rsidP="007A2736">
      <w:pPr>
        <w:spacing w:after="120"/>
        <w:jc w:val="both"/>
        <w:rPr>
          <w:lang w:val="fr-BE"/>
        </w:rPr>
      </w:pPr>
    </w:p>
    <w:p w14:paraId="049603C4" w14:textId="77777777" w:rsidR="007A2736" w:rsidRPr="00C57832" w:rsidRDefault="007A2736" w:rsidP="007A2736">
      <w:pPr>
        <w:spacing w:after="120"/>
        <w:jc w:val="both"/>
        <w:rPr>
          <w:lang w:val="fr-BE"/>
        </w:rPr>
      </w:pPr>
      <w:r w:rsidRPr="00C57832">
        <w:rPr>
          <w:lang w:val="fr-BE"/>
        </w:rPr>
        <w:t xml:space="preserve">8° lorsque le soumissionnaire s’est rendu gravement coupable de fausses déclarations en fournissant les informations nécessaires au contrôle de l’absence de causes d’exclusion ou du respect des critères de sélection, ou a retenu des informations ou n’a pas été à même présenter les documents d’appui exigés en vertu de l’article 73 ou de l’article 74 de la Loi relative aux marchés publics ; </w:t>
      </w:r>
      <w:proofErr w:type="gramStart"/>
      <w:r w:rsidRPr="00C57832">
        <w:rPr>
          <w:lang w:val="fr-BE"/>
        </w:rPr>
        <w:t>ou</w:t>
      </w:r>
      <w:proofErr w:type="gramEnd"/>
      <w:r w:rsidRPr="00C57832">
        <w:rPr>
          <w:lang w:val="fr-BE"/>
        </w:rPr>
        <w:t xml:space="preserve"> </w:t>
      </w:r>
    </w:p>
    <w:p w14:paraId="0A1B2257" w14:textId="77777777" w:rsidR="007A2736" w:rsidRPr="00C57832" w:rsidRDefault="007A2736" w:rsidP="007A2736">
      <w:pPr>
        <w:spacing w:after="120"/>
        <w:jc w:val="both"/>
        <w:rPr>
          <w:lang w:val="fr-BE"/>
        </w:rPr>
      </w:pPr>
    </w:p>
    <w:p w14:paraId="4E01168E" w14:textId="77777777" w:rsidR="007A2736" w:rsidRPr="00C57832" w:rsidRDefault="007A2736" w:rsidP="007A2736">
      <w:pPr>
        <w:spacing w:after="120"/>
        <w:jc w:val="both"/>
        <w:rPr>
          <w:lang w:val="fr-BE"/>
        </w:rPr>
      </w:pPr>
      <w:r w:rsidRPr="00C57832">
        <w:rPr>
          <w:lang w:val="fr-BE"/>
        </w:rPr>
        <w:t xml:space="preserve">9° lorsque le soumissionnaire a tenté d’influencer abusivement le processus de décision de l’Adjudicateur, d’obtenir des informations confidentielles susceptibles de lui procurer des avantages illégitimes dans la procédure de passation ou de fournir des informations trompeuses pouvant avoir une influence importante sur les décisions en matière d’exclusion, de sélection et d’attribution. </w:t>
      </w:r>
    </w:p>
    <w:p w14:paraId="1ACB3335" w14:textId="77777777" w:rsidR="007A2736" w:rsidRPr="00C57832" w:rsidRDefault="007A2736" w:rsidP="007A2736">
      <w:pPr>
        <w:spacing w:after="120"/>
        <w:jc w:val="both"/>
        <w:rPr>
          <w:lang w:val="fr-BE"/>
        </w:rPr>
      </w:pPr>
    </w:p>
    <w:p w14:paraId="00784822" w14:textId="77777777" w:rsidR="007A2736" w:rsidRPr="00C57832" w:rsidRDefault="007A2736" w:rsidP="007A2736">
      <w:pPr>
        <w:spacing w:after="120"/>
        <w:jc w:val="both"/>
        <w:rPr>
          <w:lang w:val="fr-BE"/>
        </w:rPr>
      </w:pPr>
      <w:r w:rsidRPr="00C57832">
        <w:rPr>
          <w:lang w:val="fr-BE"/>
        </w:rPr>
        <w:t xml:space="preserve">Les exclusions susmentionnées de participation aux marchés publics valent pour une période de trois ans à partir de la date de l’événement concerné ou, s’il s’agit d’une infraction continue, à partir de la fin de l’infraction. </w:t>
      </w:r>
    </w:p>
    <w:p w14:paraId="2173E598" w14:textId="77777777" w:rsidR="007A2736" w:rsidRPr="00C57832" w:rsidRDefault="007A2736" w:rsidP="007A2736">
      <w:pPr>
        <w:spacing w:after="120"/>
        <w:jc w:val="both"/>
        <w:rPr>
          <w:lang w:val="fr-BE"/>
        </w:rPr>
      </w:pPr>
    </w:p>
    <w:p w14:paraId="763BB642" w14:textId="77777777" w:rsidR="007A2736" w:rsidRPr="00C57832" w:rsidRDefault="007A2736" w:rsidP="007A2736">
      <w:pPr>
        <w:spacing w:after="120"/>
        <w:jc w:val="both"/>
        <w:rPr>
          <w:lang w:val="fr-BE"/>
        </w:rPr>
      </w:pPr>
      <w:r w:rsidRPr="00C57832">
        <w:rPr>
          <w:lang w:val="fr-BE"/>
        </w:rPr>
        <w:t xml:space="preserve">Mesures correctrices (Article 70 de la Loi relative aux marchés publics) </w:t>
      </w:r>
    </w:p>
    <w:p w14:paraId="6BCBF69A" w14:textId="77777777" w:rsidR="007A2736" w:rsidRPr="00C57832" w:rsidRDefault="007A2736" w:rsidP="007A2736">
      <w:pPr>
        <w:spacing w:after="120"/>
        <w:jc w:val="both"/>
        <w:rPr>
          <w:lang w:val="fr-BE"/>
        </w:rPr>
      </w:pPr>
      <w:r w:rsidRPr="00C57832">
        <w:rPr>
          <w:lang w:val="fr-BE"/>
        </w:rPr>
        <w:t xml:space="preserve">§1. Chaque soumissionnaire qui tombe dans une ou plusieurs des situations susmentionnées menant à une exclusion obligatoire ou facultative, peut apporter la preuve que les mesures qu’il a prises sont suffisantes pour démontrer sa fiabilité nonobstant le motif d’exclusion applicable. Si l’Adjudicateur estime cette preuve suffisante, le soumissionnaire concerné ne sera pas exclu de la procédure de passation, moyennant l’accord préalable et écrit de la CIE. </w:t>
      </w:r>
    </w:p>
    <w:p w14:paraId="0AC0547B" w14:textId="77777777" w:rsidR="007A2736" w:rsidRPr="00C57832" w:rsidRDefault="007A2736" w:rsidP="007A2736">
      <w:pPr>
        <w:spacing w:after="120"/>
        <w:jc w:val="both"/>
        <w:rPr>
          <w:lang w:val="fr-BE"/>
        </w:rPr>
      </w:pPr>
    </w:p>
    <w:p w14:paraId="0F75A0C5" w14:textId="77777777" w:rsidR="007A2736" w:rsidRPr="00C57832" w:rsidRDefault="007A2736" w:rsidP="007A2736">
      <w:pPr>
        <w:spacing w:after="120"/>
        <w:jc w:val="both"/>
        <w:rPr>
          <w:lang w:val="fr-BE"/>
        </w:rPr>
      </w:pPr>
      <w:r w:rsidRPr="00C57832">
        <w:rPr>
          <w:lang w:val="fr-BE"/>
        </w:rPr>
        <w:t xml:space="preserve">À cette fin, de sa propre initiative, le soumissionnaire prouve qu’il a payé les éventuels dommages consécutifs aux infractions pénales ou fautes commises ou qu’il a accepté de les indemniser, qu’il a clarifié les faits et circonstances en collaborant activement avec les autorités enquêtrices et qu’il a pris des mesures techniques, organisationnelles et de personnel concrètes appropriées pour prévenir d’autres infractions pénales ou fautes. </w:t>
      </w:r>
    </w:p>
    <w:p w14:paraId="2EA54DE1" w14:textId="77777777" w:rsidR="007A2736" w:rsidRPr="00C57832" w:rsidRDefault="007A2736" w:rsidP="007A2736">
      <w:pPr>
        <w:spacing w:after="120"/>
        <w:jc w:val="both"/>
        <w:rPr>
          <w:lang w:val="fr-BE"/>
        </w:rPr>
      </w:pPr>
    </w:p>
    <w:p w14:paraId="16A97FF1" w14:textId="77777777" w:rsidR="007A2736" w:rsidRPr="00C57832" w:rsidRDefault="007A2736" w:rsidP="007A2736">
      <w:pPr>
        <w:spacing w:after="120"/>
        <w:jc w:val="both"/>
        <w:rPr>
          <w:lang w:val="fr-BE"/>
        </w:rPr>
      </w:pPr>
      <w:r w:rsidRPr="00C57832">
        <w:rPr>
          <w:lang w:val="fr-BE"/>
        </w:rPr>
        <w:t xml:space="preserve">Les mesures prises par le soumissionnaire sont évaluées en tenant compte de la gravité et des circonstances particulières des infractions pénales ou de la faute. Dans tous les cas, il s’agit d’une décision à prendre par l’Adjudicateur qui doit être motivée tant sur le matériel que sur le plan formel. Lorsque les mesures sont estimées insuffisantes, les raisons en sont communiquées au soumissionnaire. </w:t>
      </w:r>
    </w:p>
    <w:p w14:paraId="7F9DF3CC" w14:textId="77777777" w:rsidR="007A2736" w:rsidRPr="00C57832" w:rsidRDefault="007A2736" w:rsidP="007A2736">
      <w:pPr>
        <w:spacing w:after="120"/>
        <w:jc w:val="both"/>
        <w:rPr>
          <w:lang w:val="fr-BE"/>
        </w:rPr>
      </w:pPr>
    </w:p>
    <w:p w14:paraId="04E9D79A" w14:textId="699EE29A" w:rsidR="004A7781" w:rsidRPr="00C57832" w:rsidRDefault="007A2736" w:rsidP="007A2736">
      <w:pPr>
        <w:spacing w:after="120"/>
        <w:jc w:val="both"/>
        <w:rPr>
          <w:lang w:val="fr-BE"/>
        </w:rPr>
      </w:pPr>
      <w:r w:rsidRPr="00C57832">
        <w:rPr>
          <w:lang w:val="fr-BE"/>
        </w:rPr>
        <w:t>§2. Un soumissionnaire qui, par décision judiciaire ayant force de chose jugée, est exclu de la participation aux procédures de passation ou aux procédures d’octroi de concessions ne peut, pendant la durée de l’exclusion consécutive à cette décision, pas recourir à la possibilité offerte dans cet article dans les états membres où le jugement est en vigueur.</w:t>
      </w:r>
    </w:p>
    <w:p w14:paraId="397C7E37" w14:textId="65D60BAD" w:rsidR="006B4934" w:rsidRPr="00C57832" w:rsidRDefault="006B4934" w:rsidP="00C127EC">
      <w:pPr>
        <w:pStyle w:val="Titre3"/>
        <w:numPr>
          <w:ilvl w:val="2"/>
          <w:numId w:val="24"/>
        </w:numPr>
        <w:tabs>
          <w:tab w:val="clear" w:pos="720"/>
          <w:tab w:val="num" w:pos="851"/>
        </w:tabs>
        <w:spacing w:after="100" w:afterAutospacing="1"/>
        <w:ind w:left="851" w:hanging="851"/>
        <w:rPr>
          <w:szCs w:val="20"/>
          <w:lang w:val="fr-BE" w:eastAsia="nl-NL"/>
        </w:rPr>
      </w:pPr>
      <w:bookmarkStart w:id="73" w:name="_Toc201587448"/>
      <w:bookmarkStart w:id="74" w:name="_Toc513197748"/>
      <w:bookmarkStart w:id="75" w:name="_Toc200945509"/>
      <w:r w:rsidRPr="00C57832">
        <w:rPr>
          <w:szCs w:val="20"/>
          <w:lang w:val="fr-BE" w:eastAsia="nl-NL"/>
        </w:rPr>
        <w:t xml:space="preserve">Critères de sélection </w:t>
      </w:r>
      <w:bookmarkEnd w:id="73"/>
      <w:r w:rsidR="004A7781" w:rsidRPr="00C57832">
        <w:rPr>
          <w:szCs w:val="20"/>
          <w:lang w:val="fr-BE" w:eastAsia="nl-NL"/>
        </w:rPr>
        <w:t>qualitati</w:t>
      </w:r>
      <w:r w:rsidR="007A2736" w:rsidRPr="00C57832">
        <w:rPr>
          <w:szCs w:val="20"/>
          <w:lang w:val="fr-BE" w:eastAsia="nl-NL"/>
        </w:rPr>
        <w:t>ve (Article 71 de la Loi relative aux marchés publics – articles 65 à 68 de l’AR Exécution)</w:t>
      </w:r>
      <w:bookmarkEnd w:id="74"/>
    </w:p>
    <w:p w14:paraId="6C16D01B" w14:textId="77777777" w:rsidR="007A2736" w:rsidRPr="00C57832" w:rsidRDefault="007A2736" w:rsidP="007A2736">
      <w:pPr>
        <w:rPr>
          <w:lang w:val="fr-BE" w:eastAsia="nl-NL"/>
        </w:rPr>
      </w:pPr>
      <w:r w:rsidRPr="00C57832">
        <w:rPr>
          <w:lang w:val="fr-BE" w:eastAsia="nl-NL"/>
        </w:rPr>
        <w:t xml:space="preserve">Lorsque le soumissionnaire fait appel à la capacité d’autres entités et que cette capacité est déterminante pour sa sélection, il mentionne obligatoirement pour quelle part du marché il fait appel à cette capacité ainsi que l’engagement du ou des tiers à lui mettre à disposition les moyens visés les (s) critères concernés.  </w:t>
      </w:r>
    </w:p>
    <w:p w14:paraId="6CA63DF8" w14:textId="423A9652" w:rsidR="007A2736" w:rsidRPr="00C57832" w:rsidRDefault="007A2736" w:rsidP="00E00E32">
      <w:pPr>
        <w:rPr>
          <w:lang w:val="fr-BE" w:eastAsia="nl-NL"/>
        </w:rPr>
      </w:pPr>
      <w:r w:rsidRPr="00C57832">
        <w:rPr>
          <w:lang w:val="fr-BE" w:eastAsia="nl-NL"/>
        </w:rPr>
        <w:t>Lorsque le soumissionnaire a l’intention de sous-traiter, il doit préciser la part du marché qui est concerné ainsi que les données relatives aux sous-traitants proposés.</w:t>
      </w:r>
    </w:p>
    <w:p w14:paraId="397C7E38" w14:textId="1C8E7E09" w:rsidR="006B4934" w:rsidRPr="00C57832" w:rsidRDefault="006B4934" w:rsidP="00C127EC">
      <w:pPr>
        <w:pStyle w:val="Titre3"/>
        <w:numPr>
          <w:ilvl w:val="3"/>
          <w:numId w:val="24"/>
        </w:numPr>
        <w:tabs>
          <w:tab w:val="clear" w:pos="864"/>
          <w:tab w:val="num" w:pos="1134"/>
        </w:tabs>
        <w:spacing w:after="100" w:afterAutospacing="1"/>
        <w:ind w:left="993" w:hanging="993"/>
        <w:rPr>
          <w:lang w:val="fr-BE"/>
        </w:rPr>
      </w:pPr>
      <w:r w:rsidRPr="00C57832">
        <w:rPr>
          <w:lang w:val="fr-BE"/>
        </w:rPr>
        <w:t>Critères de sélection relatifs à la capacité financière du soumissionnaire</w:t>
      </w:r>
      <w:bookmarkEnd w:id="75"/>
    </w:p>
    <w:p w14:paraId="2DC4C6C4" w14:textId="793C1988" w:rsidR="004A7781" w:rsidRPr="00C57832" w:rsidRDefault="004A7781" w:rsidP="00C76C93">
      <w:pPr>
        <w:jc w:val="both"/>
        <w:rPr>
          <w:lang w:val="fr-BE"/>
        </w:rPr>
      </w:pPr>
      <w:r w:rsidRPr="00C57832">
        <w:rPr>
          <w:lang w:val="fr-BE"/>
        </w:rPr>
        <w:t>Le soumissionnaire démontre sa capacité financière et économique en transmettant les éléments suivants :</w:t>
      </w:r>
    </w:p>
    <w:p w14:paraId="1575067F" w14:textId="4B636A7C" w:rsidR="004A7781" w:rsidRPr="00DF6753" w:rsidRDefault="004A7781" w:rsidP="00F229D9">
      <w:pPr>
        <w:pStyle w:val="Paragraphedeliste"/>
        <w:numPr>
          <w:ilvl w:val="0"/>
          <w:numId w:val="12"/>
        </w:numPr>
        <w:rPr>
          <w:lang w:val="fr-BE"/>
        </w:rPr>
      </w:pPr>
      <w:bookmarkStart w:id="76" w:name="_Toc450730401"/>
      <w:bookmarkStart w:id="77" w:name="_Toc479344681"/>
      <w:r w:rsidRPr="00C57832">
        <w:rPr>
          <w:szCs w:val="18"/>
          <w:lang w:val="fr-BE"/>
        </w:rPr>
        <w:t xml:space="preserve">Une déclaration relative au chiffre d’affaires global et, le cas échéant, au chiffre d’affaires du ou des domaines d’activités faisant l’objet </w:t>
      </w:r>
      <w:r w:rsidRPr="00DF6753">
        <w:rPr>
          <w:szCs w:val="18"/>
          <w:lang w:val="fr-BE"/>
        </w:rPr>
        <w:t>du présent Marché au cours des trois derniers exercices fiscaux disponibles précédant le début de ce Marché</w:t>
      </w:r>
      <w:bookmarkEnd w:id="76"/>
      <w:bookmarkEnd w:id="77"/>
      <w:r w:rsidR="00115FB0" w:rsidRPr="00DF6753">
        <w:rPr>
          <w:szCs w:val="18"/>
          <w:lang w:val="fr-BE"/>
        </w:rPr>
        <w:t xml:space="preserve"> ; </w:t>
      </w:r>
      <w:r w:rsidR="00F229D9" w:rsidRPr="00DF6753">
        <w:rPr>
          <w:lang w:val="fr-BE"/>
        </w:rPr>
        <w:t>le chiffre d’affaires</w:t>
      </w:r>
      <w:r w:rsidR="00115FB0" w:rsidRPr="00DF6753">
        <w:rPr>
          <w:lang w:val="fr-BE"/>
        </w:rPr>
        <w:t xml:space="preserve"> minimum</w:t>
      </w:r>
      <w:r w:rsidR="00F229D9" w:rsidRPr="00DF6753">
        <w:rPr>
          <w:lang w:val="fr-BE"/>
        </w:rPr>
        <w:t xml:space="preserve"> nécessaire par exercice fiscal doit correspondre au montant estimé du marché</w:t>
      </w:r>
      <w:r w:rsidR="00115FB0" w:rsidRPr="00DF6753">
        <w:rPr>
          <w:lang w:val="fr-BE"/>
        </w:rPr>
        <w:t>.</w:t>
      </w:r>
    </w:p>
    <w:p w14:paraId="397C7E3C" w14:textId="54D0BDA2" w:rsidR="006B4934" w:rsidRPr="00DF6753" w:rsidRDefault="006B4934" w:rsidP="00C127EC">
      <w:pPr>
        <w:pStyle w:val="Titre3"/>
        <w:numPr>
          <w:ilvl w:val="3"/>
          <w:numId w:val="24"/>
        </w:numPr>
        <w:tabs>
          <w:tab w:val="clear" w:pos="864"/>
          <w:tab w:val="num" w:pos="1134"/>
        </w:tabs>
        <w:spacing w:after="100" w:afterAutospacing="1"/>
        <w:ind w:left="709" w:hanging="709"/>
        <w:rPr>
          <w:lang w:val="fr-BE"/>
        </w:rPr>
      </w:pPr>
      <w:bookmarkStart w:id="78" w:name="_Toc200945510"/>
      <w:r w:rsidRPr="00DF6753">
        <w:rPr>
          <w:rFonts w:eastAsia="Times New Roman"/>
          <w:lang w:val="fr-BE" w:eastAsia="nl-NL"/>
        </w:rPr>
        <w:t>Critères de sélection relat</w:t>
      </w:r>
      <w:r w:rsidRPr="00DF6753">
        <w:rPr>
          <w:lang w:val="fr-BE"/>
        </w:rPr>
        <w:t xml:space="preserve">ifs </w:t>
      </w:r>
      <w:r w:rsidR="00D22689" w:rsidRPr="00DF6753">
        <w:rPr>
          <w:lang w:val="fr-BE"/>
        </w:rPr>
        <w:t>aux compétences techniques du soumissionnaire</w:t>
      </w:r>
      <w:bookmarkEnd w:id="78"/>
    </w:p>
    <w:p w14:paraId="106C52C8" w14:textId="0EE91BE1" w:rsidR="001133AB" w:rsidRPr="00DF6753" w:rsidRDefault="006B4934" w:rsidP="00C76C93">
      <w:pPr>
        <w:rPr>
          <w:lang w:val="fr-BE" w:eastAsia="nl-NL"/>
        </w:rPr>
      </w:pPr>
      <w:r w:rsidRPr="00DF6753">
        <w:rPr>
          <w:lang w:val="fr-BE"/>
        </w:rPr>
        <w:t xml:space="preserve">La capacité technique du </w:t>
      </w:r>
      <w:r w:rsidR="00294596" w:rsidRPr="00DF6753">
        <w:rPr>
          <w:lang w:val="fr-BE"/>
        </w:rPr>
        <w:t xml:space="preserve">soumissionnaire </w:t>
      </w:r>
      <w:r w:rsidRPr="00DF6753">
        <w:rPr>
          <w:lang w:val="fr-BE"/>
        </w:rPr>
        <w:t xml:space="preserve">sera évaluée sur la base des documents suivants : </w:t>
      </w:r>
    </w:p>
    <w:p w14:paraId="7F3DF9DD" w14:textId="7DD39DB0" w:rsidR="001133AB" w:rsidRPr="00DF6753" w:rsidRDefault="001133AB" w:rsidP="00C76C93">
      <w:pPr>
        <w:pStyle w:val="Listepuces"/>
        <w:rPr>
          <w:rFonts w:eastAsia="Times New Roman"/>
          <w:lang w:val="fr-BE" w:eastAsia="nl-NL"/>
        </w:rPr>
      </w:pPr>
      <w:r w:rsidRPr="00DF6753">
        <w:rPr>
          <w:rFonts w:eastAsia="Times New Roman"/>
          <w:lang w:val="fr-BE" w:eastAsia="nl-NL"/>
        </w:rPr>
        <w:t xml:space="preserve">Une preuve d’inscription au registre de commerce ou équivalent </w:t>
      </w:r>
      <w:r w:rsidR="006B5478" w:rsidRPr="00DF6753">
        <w:rPr>
          <w:rFonts w:eastAsia="Times New Roman"/>
          <w:lang w:val="fr-BE" w:eastAsia="nl-NL"/>
        </w:rPr>
        <w:t>;</w:t>
      </w:r>
      <w:r w:rsidRPr="00DF6753">
        <w:rPr>
          <w:rFonts w:eastAsia="Times New Roman"/>
          <w:lang w:val="fr-BE" w:eastAsia="nl-NL"/>
        </w:rPr>
        <w:t xml:space="preserve"> </w:t>
      </w:r>
    </w:p>
    <w:p w14:paraId="07A79D15" w14:textId="53C80A21" w:rsidR="001133AB" w:rsidRPr="00DF6753" w:rsidRDefault="001133AB" w:rsidP="00C76C93">
      <w:pPr>
        <w:pStyle w:val="Listepuces"/>
        <w:rPr>
          <w:rFonts w:eastAsia="Times New Roman"/>
          <w:lang w:val="fr-BE" w:eastAsia="nl-NL"/>
        </w:rPr>
      </w:pPr>
      <w:r w:rsidRPr="00DF6753">
        <w:rPr>
          <w:rFonts w:eastAsia="Times New Roman"/>
          <w:lang w:val="fr-BE" w:eastAsia="nl-NL"/>
        </w:rPr>
        <w:t>Tous les permis et autorisations nécessaires du soumissionnaire afin d’exécuter le Marché (</w:t>
      </w:r>
      <w:r w:rsidR="00D22689" w:rsidRPr="00DF6753">
        <w:rPr>
          <w:szCs w:val="18"/>
          <w:lang w:val="fr-BE"/>
        </w:rPr>
        <w:t xml:space="preserve">permis d’exploitation, normes incendie, conformité de l’installation électrique, et tous les autres permis légalement obligatoires - </w:t>
      </w:r>
      <w:r w:rsidR="000F720F" w:rsidRPr="00DF6753">
        <w:rPr>
          <w:rFonts w:eastAsia="Times New Roman"/>
          <w:lang w:val="fr-BE" w:eastAsia="nl-NL"/>
        </w:rPr>
        <w:t>le cas échéant</w:t>
      </w:r>
      <w:r w:rsidRPr="00DF6753">
        <w:rPr>
          <w:rFonts w:eastAsia="Times New Roman"/>
          <w:lang w:val="fr-BE" w:eastAsia="nl-NL"/>
        </w:rPr>
        <w:t xml:space="preserve"> aussi pour la station de transfert</w:t>
      </w:r>
      <w:r w:rsidR="006B5478" w:rsidRPr="00DF6753">
        <w:rPr>
          <w:rFonts w:eastAsia="Times New Roman"/>
          <w:lang w:val="fr-BE" w:eastAsia="nl-NL"/>
        </w:rPr>
        <w:t>) ;</w:t>
      </w:r>
    </w:p>
    <w:p w14:paraId="3987971F" w14:textId="5A38E0B1" w:rsidR="001133AB" w:rsidRPr="00DF6753" w:rsidRDefault="00D22689" w:rsidP="00C76C93">
      <w:pPr>
        <w:pStyle w:val="Listepuces"/>
        <w:rPr>
          <w:rFonts w:eastAsia="Times New Roman"/>
          <w:lang w:val="fr-BE" w:eastAsia="nl-NL"/>
        </w:rPr>
      </w:pPr>
      <w:r w:rsidRPr="00DF6753">
        <w:rPr>
          <w:rFonts w:eastAsia="Times New Roman"/>
          <w:lang w:val="fr-BE" w:eastAsia="nl-NL"/>
        </w:rPr>
        <w:t>Une</w:t>
      </w:r>
      <w:r w:rsidR="001133AB" w:rsidRPr="00DF6753">
        <w:rPr>
          <w:rFonts w:eastAsia="Times New Roman"/>
          <w:lang w:val="fr-BE" w:eastAsia="nl-NL"/>
        </w:rPr>
        <w:t xml:space="preserve"> liste des principales missions comparables exécutées au cours des trois dernières années disponibles qui précèdent le début d</w:t>
      </w:r>
      <w:r w:rsidR="006B5478" w:rsidRPr="00DF6753">
        <w:rPr>
          <w:rFonts w:eastAsia="Times New Roman"/>
          <w:lang w:val="fr-BE" w:eastAsia="nl-NL"/>
        </w:rPr>
        <w:t>e l</w:t>
      </w:r>
      <w:r w:rsidR="001133AB" w:rsidRPr="00DF6753">
        <w:rPr>
          <w:rFonts w:eastAsia="Times New Roman"/>
          <w:lang w:val="fr-BE" w:eastAsia="nl-NL"/>
        </w:rPr>
        <w:t xml:space="preserve">’exécution du Marché avec mention pour chacune, du montant, de la date et du destinataire public ou privé </w:t>
      </w:r>
      <w:r w:rsidRPr="00DF6753">
        <w:rPr>
          <w:rFonts w:eastAsia="Times New Roman"/>
          <w:lang w:val="fr-BE" w:eastAsia="nl-NL"/>
        </w:rPr>
        <w:t>pour lesquels</w:t>
      </w:r>
      <w:r w:rsidR="001133AB" w:rsidRPr="00DF6753">
        <w:rPr>
          <w:rFonts w:eastAsia="Times New Roman"/>
          <w:lang w:val="fr-BE" w:eastAsia="nl-NL"/>
        </w:rPr>
        <w:t xml:space="preserve"> les services étaient destinés. Cette liste sera complétée par </w:t>
      </w:r>
      <w:r w:rsidRPr="00DF6753">
        <w:rPr>
          <w:rFonts w:eastAsia="Times New Roman"/>
          <w:lang w:val="fr-BE" w:eastAsia="nl-NL"/>
        </w:rPr>
        <w:t>des certificats</w:t>
      </w:r>
      <w:r w:rsidR="001133AB" w:rsidRPr="00DF6753">
        <w:rPr>
          <w:rFonts w:eastAsia="Times New Roman"/>
          <w:lang w:val="fr-BE" w:eastAsia="nl-NL"/>
        </w:rPr>
        <w:t xml:space="preserve"> des autorités publiques</w:t>
      </w:r>
      <w:r w:rsidRPr="00DF6753">
        <w:rPr>
          <w:rFonts w:eastAsia="Times New Roman"/>
          <w:lang w:val="fr-BE" w:eastAsia="nl-NL"/>
        </w:rPr>
        <w:t>, par</w:t>
      </w:r>
      <w:r w:rsidR="001133AB" w:rsidRPr="00DF6753">
        <w:rPr>
          <w:rFonts w:eastAsia="Times New Roman"/>
          <w:lang w:val="fr-BE" w:eastAsia="nl-NL"/>
        </w:rPr>
        <w:t xml:space="preserve"> un certificat </w:t>
      </w:r>
      <w:r w:rsidRPr="00DF6753">
        <w:rPr>
          <w:rFonts w:eastAsia="Times New Roman"/>
          <w:lang w:val="fr-BE" w:eastAsia="nl-NL"/>
        </w:rPr>
        <w:t>des personnes de droit</w:t>
      </w:r>
      <w:r w:rsidR="001133AB" w:rsidRPr="00DF6753">
        <w:rPr>
          <w:rFonts w:eastAsia="Times New Roman"/>
          <w:lang w:val="fr-BE" w:eastAsia="nl-NL"/>
        </w:rPr>
        <w:t xml:space="preserve"> privé ou à défaut </w:t>
      </w:r>
      <w:r w:rsidR="006B5478" w:rsidRPr="00DF6753">
        <w:rPr>
          <w:rFonts w:eastAsia="Times New Roman"/>
          <w:lang w:val="fr-BE" w:eastAsia="nl-NL"/>
        </w:rPr>
        <w:t xml:space="preserve">par </w:t>
      </w:r>
      <w:r w:rsidR="001133AB" w:rsidRPr="00DF6753">
        <w:rPr>
          <w:rFonts w:eastAsia="Times New Roman"/>
          <w:lang w:val="fr-BE" w:eastAsia="nl-NL"/>
        </w:rPr>
        <w:t>une déclaration du soumissionnaire lui-</w:t>
      </w:r>
      <w:r w:rsidR="004B318B" w:rsidRPr="00DF6753">
        <w:rPr>
          <w:rFonts w:eastAsia="Times New Roman"/>
          <w:lang w:val="fr-BE" w:eastAsia="nl-NL"/>
        </w:rPr>
        <w:t xml:space="preserve">même. </w:t>
      </w:r>
      <w:r w:rsidR="00F229D9" w:rsidRPr="00DF6753">
        <w:rPr>
          <w:lang w:val="fr-BE"/>
        </w:rPr>
        <w:t xml:space="preserve">Il faut </w:t>
      </w:r>
      <w:r w:rsidR="00667EA1" w:rsidRPr="00DF6753">
        <w:rPr>
          <w:lang w:val="fr-BE"/>
        </w:rPr>
        <w:t xml:space="preserve">démontrer </w:t>
      </w:r>
      <w:r w:rsidR="00F229D9" w:rsidRPr="00DF6753">
        <w:rPr>
          <w:lang w:val="fr-BE"/>
        </w:rPr>
        <w:t>au mo</w:t>
      </w:r>
      <w:r w:rsidR="004B318B" w:rsidRPr="00DF6753">
        <w:rPr>
          <w:lang w:val="fr-BE"/>
        </w:rPr>
        <w:t xml:space="preserve">ins 2 </w:t>
      </w:r>
      <w:r w:rsidR="00F229D9" w:rsidRPr="00DF6753">
        <w:rPr>
          <w:lang w:val="fr-BE"/>
        </w:rPr>
        <w:t>marchés similaires comparables</w:t>
      </w:r>
      <w:r w:rsidR="001572BE" w:rsidRPr="00DF6753">
        <w:rPr>
          <w:lang w:val="fr-BE"/>
        </w:rPr>
        <w:t xml:space="preserve"> </w:t>
      </w:r>
      <w:r w:rsidR="004B318B" w:rsidRPr="00DF6753">
        <w:rPr>
          <w:lang w:val="fr-BE"/>
        </w:rPr>
        <w:t>;</w:t>
      </w:r>
    </w:p>
    <w:p w14:paraId="21BD5622" w14:textId="55728586" w:rsidR="001133AB" w:rsidRPr="00C57832" w:rsidRDefault="001133AB" w:rsidP="00C76C93">
      <w:pPr>
        <w:pStyle w:val="Listepuces"/>
        <w:rPr>
          <w:rFonts w:eastAsia="Times New Roman"/>
          <w:lang w:val="fr-BE" w:eastAsia="nl-NL"/>
        </w:rPr>
      </w:pPr>
      <w:r w:rsidRPr="00C57832">
        <w:rPr>
          <w:rFonts w:eastAsia="Times New Roman"/>
          <w:lang w:val="fr-BE" w:eastAsia="nl-NL"/>
        </w:rPr>
        <w:lastRenderedPageBreak/>
        <w:t>Une liste du personnel technique (</w:t>
      </w:r>
      <w:r w:rsidR="00A53212" w:rsidRPr="00C57832">
        <w:rPr>
          <w:rFonts w:eastAsia="Times New Roman"/>
          <w:lang w:val="fr-BE" w:eastAsia="nl-NL"/>
        </w:rPr>
        <w:t>reprenant</w:t>
      </w:r>
      <w:r w:rsidRPr="00C57832">
        <w:rPr>
          <w:rFonts w:eastAsia="Times New Roman"/>
          <w:lang w:val="fr-BE" w:eastAsia="nl-NL"/>
        </w:rPr>
        <w:t xml:space="preserve"> l’âge, la date </w:t>
      </w:r>
      <w:r w:rsidR="00A53212" w:rsidRPr="00C57832">
        <w:rPr>
          <w:rFonts w:eastAsia="Times New Roman"/>
          <w:lang w:val="fr-BE" w:eastAsia="nl-NL"/>
        </w:rPr>
        <w:t>d’entrée</w:t>
      </w:r>
      <w:r w:rsidRPr="00C57832">
        <w:rPr>
          <w:rFonts w:eastAsia="Times New Roman"/>
          <w:lang w:val="fr-BE" w:eastAsia="nl-NL"/>
        </w:rPr>
        <w:t xml:space="preserve"> en service, sans mentionner les noms </w:t>
      </w:r>
      <w:r w:rsidR="00A53212" w:rsidRPr="00C57832">
        <w:rPr>
          <w:rFonts w:eastAsia="Times New Roman"/>
          <w:lang w:val="fr-BE" w:eastAsia="nl-NL"/>
        </w:rPr>
        <w:t xml:space="preserve">précis </w:t>
      </w:r>
      <w:r w:rsidRPr="00C57832">
        <w:rPr>
          <w:rFonts w:eastAsia="Times New Roman"/>
          <w:lang w:val="fr-BE" w:eastAsia="nl-NL"/>
        </w:rPr>
        <w:t xml:space="preserve">de chaque employé) qui est déployé </w:t>
      </w:r>
      <w:r w:rsidR="00FA7F97" w:rsidRPr="00C57832">
        <w:rPr>
          <w:lang w:val="fr-BE"/>
        </w:rPr>
        <w:t xml:space="preserve">dans le cadre de </w:t>
      </w:r>
      <w:r w:rsidRPr="00C57832">
        <w:rPr>
          <w:rFonts w:eastAsia="Times New Roman"/>
          <w:lang w:val="fr-BE" w:eastAsia="nl-NL"/>
        </w:rPr>
        <w:t xml:space="preserve">l’exécution du Marché, en mentionnant </w:t>
      </w:r>
      <w:r w:rsidR="00FA7F97" w:rsidRPr="00C57832">
        <w:rPr>
          <w:rFonts w:eastAsia="Times New Roman"/>
          <w:lang w:val="fr-BE" w:eastAsia="nl-NL"/>
        </w:rPr>
        <w:t>les</w:t>
      </w:r>
      <w:r w:rsidRPr="00C57832">
        <w:rPr>
          <w:rFonts w:eastAsia="Times New Roman"/>
          <w:lang w:val="fr-BE" w:eastAsia="nl-NL"/>
        </w:rPr>
        <w:t xml:space="preserve"> formations techniques </w:t>
      </w:r>
      <w:r w:rsidR="00A53212" w:rsidRPr="00C57832">
        <w:rPr>
          <w:rFonts w:eastAsia="Times New Roman"/>
          <w:lang w:val="fr-BE" w:eastAsia="nl-NL"/>
        </w:rPr>
        <w:t xml:space="preserve">que le personnel a </w:t>
      </w:r>
      <w:r w:rsidRPr="00C57832">
        <w:rPr>
          <w:rFonts w:eastAsia="Times New Roman"/>
          <w:lang w:val="fr-BE" w:eastAsia="nl-NL"/>
        </w:rPr>
        <w:t xml:space="preserve">reçues dans les trois (3) </w:t>
      </w:r>
      <w:r w:rsidR="006B5478" w:rsidRPr="00C57832">
        <w:rPr>
          <w:rFonts w:eastAsia="Times New Roman"/>
          <w:lang w:val="fr-BE" w:eastAsia="nl-NL"/>
        </w:rPr>
        <w:t>dernières années disponibles</w:t>
      </w:r>
      <w:r w:rsidRPr="00C57832">
        <w:rPr>
          <w:rFonts w:eastAsia="Times New Roman"/>
          <w:lang w:val="fr-BE" w:eastAsia="nl-NL"/>
        </w:rPr>
        <w:t xml:space="preserve"> qui précèdent l’exécution du Marché. La participation à cette formation peut être justifiée par un certificat externe, ou un certificat interne signé par le membre du personnel concerné (</w:t>
      </w:r>
      <w:r w:rsidR="00D924D6" w:rsidRPr="00C57832">
        <w:rPr>
          <w:rFonts w:eastAsia="Times New Roman"/>
          <w:lang w:val="fr-BE" w:eastAsia="nl-NL"/>
        </w:rPr>
        <w:t>le cas échéant</w:t>
      </w:r>
      <w:r w:rsidRPr="00C57832">
        <w:rPr>
          <w:rFonts w:eastAsia="Times New Roman"/>
          <w:lang w:val="fr-BE" w:eastAsia="nl-NL"/>
        </w:rPr>
        <w:t xml:space="preserve"> aussi pour la station de transfert</w:t>
      </w:r>
      <w:r w:rsidR="006B5478" w:rsidRPr="00C57832">
        <w:rPr>
          <w:rFonts w:eastAsia="Times New Roman"/>
          <w:lang w:val="fr-BE" w:eastAsia="nl-NL"/>
        </w:rPr>
        <w:t>) ;</w:t>
      </w:r>
      <w:r w:rsidRPr="00C57832">
        <w:rPr>
          <w:rFonts w:eastAsia="Times New Roman"/>
          <w:lang w:val="fr-BE" w:eastAsia="nl-NL"/>
        </w:rPr>
        <w:t xml:space="preserve"> </w:t>
      </w:r>
    </w:p>
    <w:p w14:paraId="779E0FF8" w14:textId="4C91F972" w:rsidR="001133AB" w:rsidRPr="00C57832" w:rsidRDefault="001133AB" w:rsidP="00C76C93">
      <w:pPr>
        <w:pStyle w:val="Listepuces"/>
        <w:rPr>
          <w:rFonts w:eastAsia="Times New Roman"/>
          <w:lang w:val="fr-BE" w:eastAsia="nl-NL"/>
        </w:rPr>
      </w:pPr>
      <w:r w:rsidRPr="00C57832">
        <w:rPr>
          <w:rFonts w:eastAsia="Times New Roman"/>
          <w:lang w:val="fr-BE" w:eastAsia="nl-NL"/>
        </w:rPr>
        <w:t xml:space="preserve">Une déclaration détaillée </w:t>
      </w:r>
      <w:r w:rsidR="00A53212" w:rsidRPr="00C57832">
        <w:rPr>
          <w:rFonts w:eastAsia="Times New Roman"/>
          <w:lang w:val="fr-BE" w:eastAsia="nl-NL"/>
        </w:rPr>
        <w:t>de</w:t>
      </w:r>
      <w:r w:rsidRPr="00C57832">
        <w:rPr>
          <w:rFonts w:eastAsia="Times New Roman"/>
          <w:lang w:val="fr-BE" w:eastAsia="nl-NL"/>
        </w:rPr>
        <w:t xml:space="preserve"> l’outillage, </w:t>
      </w:r>
      <w:r w:rsidR="00A53212" w:rsidRPr="00C57832">
        <w:rPr>
          <w:rFonts w:eastAsia="Times New Roman"/>
          <w:lang w:val="fr-BE" w:eastAsia="nl-NL"/>
        </w:rPr>
        <w:t>du</w:t>
      </w:r>
      <w:r w:rsidRPr="00C57832">
        <w:rPr>
          <w:rFonts w:eastAsia="Times New Roman"/>
          <w:lang w:val="fr-BE" w:eastAsia="nl-NL"/>
        </w:rPr>
        <w:t xml:space="preserve"> matériel</w:t>
      </w:r>
      <w:r w:rsidR="00D924D6" w:rsidRPr="00C57832">
        <w:rPr>
          <w:rFonts w:eastAsia="Times New Roman"/>
          <w:lang w:val="fr-BE" w:eastAsia="nl-NL"/>
        </w:rPr>
        <w:t>,</w:t>
      </w:r>
      <w:r w:rsidRPr="00C57832">
        <w:rPr>
          <w:rFonts w:eastAsia="Times New Roman"/>
          <w:lang w:val="fr-BE" w:eastAsia="nl-NL"/>
        </w:rPr>
        <w:t xml:space="preserve"> </w:t>
      </w:r>
      <w:r w:rsidR="00A53212" w:rsidRPr="00C57832">
        <w:rPr>
          <w:rFonts w:eastAsia="Times New Roman"/>
          <w:lang w:val="fr-BE" w:eastAsia="nl-NL"/>
        </w:rPr>
        <w:t xml:space="preserve">de </w:t>
      </w:r>
      <w:r w:rsidRPr="00C57832">
        <w:rPr>
          <w:rFonts w:eastAsia="Times New Roman"/>
          <w:lang w:val="fr-BE" w:eastAsia="nl-NL"/>
        </w:rPr>
        <w:t>l’équipement technique</w:t>
      </w:r>
      <w:r w:rsidR="00D924D6" w:rsidRPr="00C57832">
        <w:rPr>
          <w:rFonts w:eastAsia="Times New Roman"/>
          <w:lang w:val="fr-BE" w:eastAsia="nl-NL"/>
        </w:rPr>
        <w:t xml:space="preserve">, et </w:t>
      </w:r>
      <w:r w:rsidR="00A53212" w:rsidRPr="00C57832">
        <w:rPr>
          <w:rFonts w:eastAsia="Times New Roman"/>
          <w:lang w:val="fr-BE" w:eastAsia="nl-NL"/>
        </w:rPr>
        <w:t>du</w:t>
      </w:r>
      <w:r w:rsidR="00D924D6" w:rsidRPr="00C57832">
        <w:rPr>
          <w:rFonts w:eastAsia="Times New Roman"/>
          <w:lang w:val="fr-BE" w:eastAsia="nl-NL"/>
        </w:rPr>
        <w:t xml:space="preserve"> procédé technologique</w:t>
      </w:r>
      <w:r w:rsidRPr="00C57832">
        <w:rPr>
          <w:rFonts w:eastAsia="Times New Roman"/>
          <w:lang w:val="fr-BE" w:eastAsia="nl-NL"/>
        </w:rPr>
        <w:t xml:space="preserve"> dont le soumissionnaire </w:t>
      </w:r>
      <w:r w:rsidR="00A53212" w:rsidRPr="00C57832">
        <w:rPr>
          <w:rFonts w:eastAsia="Times New Roman"/>
          <w:lang w:val="fr-BE" w:eastAsia="nl-NL"/>
        </w:rPr>
        <w:t>fera usage</w:t>
      </w:r>
      <w:r w:rsidRPr="00C57832">
        <w:rPr>
          <w:rFonts w:eastAsia="Times New Roman"/>
          <w:lang w:val="fr-BE" w:eastAsia="nl-NL"/>
        </w:rPr>
        <w:t xml:space="preserve"> pour l’exécution des services, </w:t>
      </w:r>
      <w:r w:rsidR="00A53212" w:rsidRPr="00C57832">
        <w:rPr>
          <w:rFonts w:eastAsia="Times New Roman"/>
          <w:lang w:val="fr-BE" w:eastAsia="nl-NL"/>
        </w:rPr>
        <w:t xml:space="preserve">y </w:t>
      </w:r>
      <w:r w:rsidRPr="00C57832">
        <w:rPr>
          <w:rFonts w:eastAsia="Times New Roman"/>
          <w:lang w:val="fr-BE" w:eastAsia="nl-NL"/>
        </w:rPr>
        <w:t xml:space="preserve">compris </w:t>
      </w:r>
      <w:r w:rsidR="00D924D6" w:rsidRPr="00C57832">
        <w:rPr>
          <w:rFonts w:eastAsia="Times New Roman"/>
          <w:lang w:val="fr-BE" w:eastAsia="nl-NL"/>
        </w:rPr>
        <w:t>ce</w:t>
      </w:r>
      <w:r w:rsidR="00A53212" w:rsidRPr="00C57832">
        <w:rPr>
          <w:rFonts w:eastAsia="Times New Roman"/>
          <w:lang w:val="fr-BE" w:eastAsia="nl-NL"/>
        </w:rPr>
        <w:t>ux</w:t>
      </w:r>
      <w:r w:rsidR="00D924D6" w:rsidRPr="00C57832">
        <w:rPr>
          <w:rFonts w:eastAsia="Times New Roman"/>
          <w:lang w:val="fr-BE" w:eastAsia="nl-NL"/>
        </w:rPr>
        <w:t xml:space="preserve"> </w:t>
      </w:r>
      <w:r w:rsidR="00A53212" w:rsidRPr="00C57832">
        <w:rPr>
          <w:rFonts w:eastAsia="Times New Roman"/>
          <w:lang w:val="fr-BE" w:eastAsia="nl-NL"/>
        </w:rPr>
        <w:t>des</w:t>
      </w:r>
      <w:r w:rsidRPr="00C57832">
        <w:rPr>
          <w:rFonts w:eastAsia="Times New Roman"/>
          <w:lang w:val="fr-BE" w:eastAsia="nl-NL"/>
        </w:rPr>
        <w:t xml:space="preserve"> éventuels sous-traitants et station</w:t>
      </w:r>
      <w:r w:rsidR="00A53212" w:rsidRPr="00C57832">
        <w:rPr>
          <w:rFonts w:eastAsia="Times New Roman"/>
          <w:lang w:val="fr-BE" w:eastAsia="nl-NL"/>
        </w:rPr>
        <w:t>(s)</w:t>
      </w:r>
      <w:r w:rsidRPr="00C57832">
        <w:rPr>
          <w:rFonts w:eastAsia="Times New Roman"/>
          <w:lang w:val="fr-BE" w:eastAsia="nl-NL"/>
        </w:rPr>
        <w:t xml:space="preserve"> de transfert</w:t>
      </w:r>
      <w:r w:rsidR="006B5478" w:rsidRPr="00C57832">
        <w:rPr>
          <w:rFonts w:eastAsia="Times New Roman"/>
          <w:lang w:val="fr-BE" w:eastAsia="nl-NL"/>
        </w:rPr>
        <w:t xml:space="preserve"> ;</w:t>
      </w:r>
    </w:p>
    <w:p w14:paraId="05D79116" w14:textId="13ADA316" w:rsidR="001133AB" w:rsidRPr="00C57832" w:rsidRDefault="001133AB" w:rsidP="00C76C93">
      <w:pPr>
        <w:pStyle w:val="Listepuces"/>
        <w:rPr>
          <w:rFonts w:eastAsia="Times New Roman"/>
          <w:lang w:val="fr-BE" w:eastAsia="nl-NL"/>
        </w:rPr>
      </w:pPr>
      <w:r w:rsidRPr="00C57832">
        <w:rPr>
          <w:rFonts w:eastAsia="Times New Roman"/>
          <w:lang w:val="fr-BE" w:eastAsia="nl-NL"/>
        </w:rPr>
        <w:t xml:space="preserve">Une description des outils informatiques (hardware/software) </w:t>
      </w:r>
      <w:r w:rsidR="00A53212" w:rsidRPr="00C57832">
        <w:rPr>
          <w:rFonts w:eastAsia="Times New Roman"/>
          <w:lang w:val="fr-BE" w:eastAsia="nl-NL"/>
        </w:rPr>
        <w:t>dont dispose le</w:t>
      </w:r>
      <w:r w:rsidRPr="00C57832">
        <w:rPr>
          <w:rFonts w:eastAsia="Times New Roman"/>
          <w:lang w:val="fr-BE" w:eastAsia="nl-NL"/>
        </w:rPr>
        <w:t xml:space="preserve"> soumissionnaire </w:t>
      </w:r>
      <w:r w:rsidR="00A53212" w:rsidRPr="00C57832">
        <w:rPr>
          <w:rFonts w:eastAsia="Times New Roman"/>
          <w:lang w:val="fr-BE" w:eastAsia="nl-NL"/>
        </w:rPr>
        <w:t xml:space="preserve">et </w:t>
      </w:r>
      <w:r w:rsidRPr="00C57832">
        <w:rPr>
          <w:rFonts w:eastAsia="Times New Roman"/>
          <w:lang w:val="fr-BE" w:eastAsia="nl-NL"/>
        </w:rPr>
        <w:t>qui sont nécessaire</w:t>
      </w:r>
      <w:r w:rsidR="006630B3" w:rsidRPr="00C57832">
        <w:rPr>
          <w:rFonts w:eastAsia="Times New Roman"/>
          <w:lang w:val="fr-BE" w:eastAsia="nl-NL"/>
        </w:rPr>
        <w:t>s</w:t>
      </w:r>
      <w:r w:rsidRPr="00C57832">
        <w:rPr>
          <w:rFonts w:eastAsia="Times New Roman"/>
          <w:lang w:val="fr-BE" w:eastAsia="nl-NL"/>
        </w:rPr>
        <w:t xml:space="preserve"> pour le suivi administratif du Marché (</w:t>
      </w:r>
      <w:r w:rsidR="00A53212" w:rsidRPr="00C57832">
        <w:rPr>
          <w:rFonts w:eastAsia="Times New Roman"/>
          <w:lang w:val="fr-BE" w:eastAsia="nl-NL"/>
        </w:rPr>
        <w:t xml:space="preserve">cf. art. 25 - </w:t>
      </w:r>
      <w:r w:rsidR="00D924D6" w:rsidRPr="00C57832">
        <w:rPr>
          <w:rFonts w:eastAsia="Times New Roman"/>
          <w:lang w:val="fr-BE" w:eastAsia="nl-NL"/>
        </w:rPr>
        <w:t xml:space="preserve">le cas échéant </w:t>
      </w:r>
      <w:r w:rsidRPr="00C57832">
        <w:rPr>
          <w:rFonts w:eastAsia="Times New Roman"/>
          <w:lang w:val="fr-BE" w:eastAsia="nl-NL"/>
        </w:rPr>
        <w:t>aussi pour la station de transfert</w:t>
      </w:r>
      <w:r w:rsidR="006B5478" w:rsidRPr="00C57832">
        <w:rPr>
          <w:rFonts w:eastAsia="Times New Roman"/>
          <w:lang w:val="fr-BE" w:eastAsia="nl-NL"/>
        </w:rPr>
        <w:t>) ;</w:t>
      </w:r>
    </w:p>
    <w:p w14:paraId="4F3D8A4E" w14:textId="07563FB0" w:rsidR="00A53212" w:rsidRPr="00C57832" w:rsidRDefault="00A53212" w:rsidP="00A53212">
      <w:pPr>
        <w:pStyle w:val="Listepuces"/>
        <w:rPr>
          <w:rFonts w:eastAsia="Times New Roman"/>
          <w:lang w:val="fr-BE" w:eastAsia="nl-NL"/>
        </w:rPr>
      </w:pPr>
      <w:r w:rsidRPr="00C57832">
        <w:rPr>
          <w:lang w:val="fr-BE" w:eastAsia="nl-NL"/>
        </w:rPr>
        <w:t>Le cas échéant, une liste</w:t>
      </w:r>
      <w:r w:rsidR="001133AB" w:rsidRPr="00C57832">
        <w:rPr>
          <w:lang w:val="fr-BE" w:eastAsia="nl-NL"/>
        </w:rPr>
        <w:t xml:space="preserve"> de la partie/des parties du Marché que le soumissionnaire a l’intention de sous-traiter et la liste complète des éventuels sous-traitants en ce compris la/les station(s) de transfert éventuel</w:t>
      </w:r>
      <w:r w:rsidR="00D924D6" w:rsidRPr="00C57832">
        <w:rPr>
          <w:lang w:val="fr-BE" w:eastAsia="nl-NL"/>
        </w:rPr>
        <w:t>le</w:t>
      </w:r>
      <w:r w:rsidR="001133AB" w:rsidRPr="00C57832">
        <w:rPr>
          <w:lang w:val="fr-BE" w:eastAsia="nl-NL"/>
        </w:rPr>
        <w:t>(s</w:t>
      </w:r>
      <w:r w:rsidRPr="00C57832">
        <w:rPr>
          <w:lang w:val="fr-BE" w:eastAsia="nl-NL"/>
        </w:rPr>
        <w:t>)</w:t>
      </w:r>
      <w:r w:rsidRPr="00C57832">
        <w:rPr>
          <w:lang w:val="fr-BE"/>
        </w:rPr>
        <w:t xml:space="preserve"> </w:t>
      </w:r>
      <w:r w:rsidRPr="00C57832">
        <w:rPr>
          <w:rFonts w:eastAsia="Times New Roman"/>
          <w:lang w:val="fr-BE" w:eastAsia="nl-NL"/>
        </w:rPr>
        <w:t>et un engagement des sous-traitants ou autres entités aux capacités desquels le soumissionnaire fait appel dans le cadre de la satisfaction des critères de sélection qualitatifs ;</w:t>
      </w:r>
    </w:p>
    <w:p w14:paraId="06EFA510" w14:textId="77777777" w:rsidR="00A53212" w:rsidRPr="00C57832" w:rsidRDefault="00A53212" w:rsidP="00A53212">
      <w:pPr>
        <w:pStyle w:val="Listepuces"/>
        <w:rPr>
          <w:rFonts w:eastAsia="Times New Roman"/>
          <w:lang w:val="fr-BE" w:eastAsia="nl-NL"/>
        </w:rPr>
      </w:pPr>
      <w:r w:rsidRPr="00C57832">
        <w:rPr>
          <w:rFonts w:eastAsia="Times New Roman"/>
          <w:lang w:val="fr-BE" w:eastAsia="nl-NL"/>
        </w:rPr>
        <w:t>Les documents nécessaires dans le cadre d’exclusion concernant les sous-traitants ou autres entités aux capacités desquels le soumissionnaire fait appel ;</w:t>
      </w:r>
    </w:p>
    <w:p w14:paraId="329BF84E" w14:textId="77777777" w:rsidR="00A53212" w:rsidRPr="00C57832" w:rsidRDefault="00A53212" w:rsidP="00A53212">
      <w:pPr>
        <w:pStyle w:val="Listepuces"/>
        <w:rPr>
          <w:rFonts w:eastAsia="Times New Roman"/>
          <w:lang w:val="fr-BE" w:eastAsia="nl-NL"/>
        </w:rPr>
      </w:pPr>
      <w:r w:rsidRPr="00C57832">
        <w:rPr>
          <w:rFonts w:eastAsia="Times New Roman"/>
          <w:lang w:val="fr-BE" w:eastAsia="nl-NL"/>
        </w:rPr>
        <w:t>Les documents nécessaires attestant de la compétence des personnes qui apposent une signature électronique à engager l’entreprise ;</w:t>
      </w:r>
    </w:p>
    <w:p w14:paraId="3C1EBD5E" w14:textId="12D5FB5D" w:rsidR="001133AB" w:rsidRPr="00DF6753" w:rsidRDefault="00A53212" w:rsidP="00C76C93">
      <w:pPr>
        <w:pStyle w:val="Listepuces"/>
        <w:rPr>
          <w:rFonts w:eastAsia="Times New Roman"/>
          <w:lang w:val="fr-BE" w:eastAsia="nl-NL"/>
        </w:rPr>
      </w:pPr>
      <w:r w:rsidRPr="00C57832">
        <w:rPr>
          <w:rFonts w:eastAsia="Times New Roman"/>
          <w:lang w:val="fr-BE" w:eastAsia="nl-NL"/>
        </w:rPr>
        <w:t>Une d</w:t>
      </w:r>
      <w:r w:rsidR="001133AB" w:rsidRPr="00C57832">
        <w:rPr>
          <w:rFonts w:eastAsia="Times New Roman"/>
          <w:lang w:val="fr-BE" w:eastAsia="nl-NL"/>
        </w:rPr>
        <w:t xml:space="preserve">éclaration que le </w:t>
      </w:r>
      <w:r w:rsidR="001133AB" w:rsidRPr="00DF6753">
        <w:rPr>
          <w:rFonts w:eastAsia="Times New Roman"/>
          <w:lang w:val="fr-BE" w:eastAsia="nl-NL"/>
        </w:rPr>
        <w:t xml:space="preserve">soumissionnaire accepte et est capable de charger et vidanger les conteneurs dont il n’est pas le </w:t>
      </w:r>
      <w:r w:rsidR="006B5478" w:rsidRPr="00DF6753">
        <w:rPr>
          <w:rFonts w:eastAsia="Times New Roman"/>
          <w:lang w:val="fr-BE" w:eastAsia="nl-NL"/>
        </w:rPr>
        <w:t>propriétaire ;</w:t>
      </w:r>
    </w:p>
    <w:p w14:paraId="02539D0A" w14:textId="3618C9A5" w:rsidR="001133AB" w:rsidRPr="00DF6753" w:rsidRDefault="00A53212" w:rsidP="00C76C93">
      <w:pPr>
        <w:pStyle w:val="Listepuces"/>
        <w:rPr>
          <w:rFonts w:eastAsia="Times New Roman"/>
          <w:lang w:val="fr-BE" w:eastAsia="nl-NL"/>
        </w:rPr>
      </w:pPr>
      <w:r w:rsidRPr="00DF6753">
        <w:rPr>
          <w:rFonts w:eastAsia="Times New Roman"/>
          <w:lang w:val="fr-BE" w:eastAsia="nl-NL"/>
        </w:rPr>
        <w:t>Un c</w:t>
      </w:r>
      <w:r w:rsidR="001133AB" w:rsidRPr="00DF6753">
        <w:rPr>
          <w:rFonts w:eastAsia="Times New Roman"/>
          <w:lang w:val="fr-BE" w:eastAsia="nl-NL"/>
        </w:rPr>
        <w:t xml:space="preserve">ertificat d’étalonnage récent des ponts de </w:t>
      </w:r>
      <w:r w:rsidR="00D924D6" w:rsidRPr="00DF6753">
        <w:rPr>
          <w:rFonts w:eastAsia="Times New Roman"/>
          <w:lang w:val="fr-BE" w:eastAsia="nl-NL"/>
        </w:rPr>
        <w:t>pesée</w:t>
      </w:r>
      <w:r w:rsidR="001133AB" w:rsidRPr="00DF6753">
        <w:rPr>
          <w:rFonts w:eastAsia="Times New Roman"/>
          <w:lang w:val="fr-BE" w:eastAsia="nl-NL"/>
        </w:rPr>
        <w:t xml:space="preserve"> et de la balance des balles à la station de transfert (si applicable).</w:t>
      </w:r>
    </w:p>
    <w:p w14:paraId="219BE8D9" w14:textId="77777777" w:rsidR="00CF386E" w:rsidRPr="00C57832" w:rsidRDefault="00CF386E" w:rsidP="00AD15CC">
      <w:pPr>
        <w:spacing w:after="120"/>
        <w:rPr>
          <w:lang w:val="fr-BE"/>
        </w:rPr>
      </w:pPr>
    </w:p>
    <w:p w14:paraId="1A97DD45" w14:textId="53A11CFE" w:rsidR="00AD15CC" w:rsidRPr="00C57832" w:rsidRDefault="00AD15CC" w:rsidP="00AD15CC">
      <w:pPr>
        <w:spacing w:after="120"/>
        <w:rPr>
          <w:lang w:val="fr-BE"/>
        </w:rPr>
      </w:pPr>
      <w:r w:rsidRPr="00C57832">
        <w:rPr>
          <w:lang w:val="fr-BE"/>
        </w:rPr>
        <w:t>Le soumissionnaire déclare sur le Document unique de marché européen s’il satisfait ou non aux critère</w:t>
      </w:r>
      <w:r w:rsidR="0078659C" w:rsidRPr="00C57832">
        <w:rPr>
          <w:lang w:val="fr-BE"/>
        </w:rPr>
        <w:t>s de sélection répertoriés sous</w:t>
      </w:r>
      <w:r w:rsidRPr="00C57832">
        <w:rPr>
          <w:lang w:val="fr-BE"/>
        </w:rPr>
        <w:t xml:space="preserve"> 11.2. Les pièces à présenter ne doivent pas être jointes au Document unique de marché européen, mais le pouvoir adjudicateur pourra les exiger si nécessaire. </w:t>
      </w:r>
    </w:p>
    <w:p w14:paraId="32E6809D" w14:textId="77777777" w:rsidR="007A2736" w:rsidRPr="00C57832" w:rsidRDefault="007A2736" w:rsidP="00BB166A">
      <w:pPr>
        <w:pStyle w:val="Titre3"/>
        <w:numPr>
          <w:ilvl w:val="1"/>
          <w:numId w:val="24"/>
        </w:numPr>
        <w:spacing w:after="100" w:afterAutospacing="1"/>
        <w:rPr>
          <w:sz w:val="22"/>
          <w:lang w:val="fr-BE" w:eastAsia="nl-NL"/>
        </w:rPr>
      </w:pPr>
      <w:bookmarkStart w:id="79" w:name="_Toc7033751"/>
      <w:r w:rsidRPr="00C57832">
        <w:rPr>
          <w:sz w:val="22"/>
          <w:lang w:val="fr-BE" w:eastAsia="nl-NL"/>
        </w:rPr>
        <w:t>Document unique de marché européen (Articles 66, §2 et 73 de la Loi relative aux marchés publics – articles 38, 70 et 75 de l’AR Passation)</w:t>
      </w:r>
      <w:bookmarkEnd w:id="79"/>
    </w:p>
    <w:p w14:paraId="4FE0DD21" w14:textId="77777777" w:rsidR="007A2736" w:rsidRPr="00C57832" w:rsidRDefault="007A2736" w:rsidP="007A2736">
      <w:pPr>
        <w:spacing w:before="120"/>
        <w:jc w:val="both"/>
        <w:rPr>
          <w:szCs w:val="18"/>
          <w:lang w:val="fr-BE"/>
        </w:rPr>
      </w:pPr>
      <w:r w:rsidRPr="00C57832">
        <w:rPr>
          <w:szCs w:val="18"/>
          <w:lang w:val="fr-BE"/>
        </w:rPr>
        <w:t xml:space="preserve">Le soumissionnaire est tenu de joindre à son offre le Document unique de marché européen (ci-après « </w:t>
      </w:r>
      <w:proofErr w:type="gramStart"/>
      <w:r w:rsidRPr="00C57832">
        <w:rPr>
          <w:szCs w:val="18"/>
          <w:lang w:val="fr-BE"/>
        </w:rPr>
        <w:t>DUME»</w:t>
      </w:r>
      <w:proofErr w:type="gramEnd"/>
      <w:r w:rsidRPr="00C57832">
        <w:rPr>
          <w:szCs w:val="18"/>
          <w:lang w:val="fr-BE"/>
        </w:rPr>
        <w:t>), qu'il a rempli et complété, attestant ainsi qu'aucun motif d'exclusion ne s'applique à son cas et qu'il remplit les critères de sélection. Les documents à soumettre relatifs aux critères de sélection ne doivent pas être ajoutés au DUME, mais seront demandés le cas échéant par l'Adjudicateur.</w:t>
      </w:r>
    </w:p>
    <w:p w14:paraId="00900984" w14:textId="77777777" w:rsidR="007A2736" w:rsidRPr="00C57832" w:rsidRDefault="007A2736" w:rsidP="007A2736">
      <w:pPr>
        <w:spacing w:before="120"/>
        <w:jc w:val="both"/>
        <w:rPr>
          <w:szCs w:val="18"/>
          <w:lang w:val="fr-BE"/>
        </w:rPr>
      </w:pPr>
      <w:r w:rsidRPr="00C57832">
        <w:rPr>
          <w:szCs w:val="18"/>
          <w:lang w:val="fr-BE"/>
        </w:rPr>
        <w:t>L'Adjudicateur a déjà élaboré un modèle de DUME pour ce marché :</w:t>
      </w:r>
    </w:p>
    <w:p w14:paraId="30C9CE38" w14:textId="77777777" w:rsidR="007A2736" w:rsidRPr="00C57832" w:rsidRDefault="007A2736" w:rsidP="007A2736">
      <w:pPr>
        <w:spacing w:before="120"/>
        <w:jc w:val="both"/>
        <w:rPr>
          <w:szCs w:val="18"/>
          <w:lang w:val="fr-BE"/>
        </w:rPr>
      </w:pPr>
      <w:r w:rsidRPr="00C57832">
        <w:rPr>
          <w:szCs w:val="18"/>
          <w:lang w:val="fr-BE"/>
        </w:rPr>
        <w:t>- en format PDF (voir le document joint à la publication) ;</w:t>
      </w:r>
    </w:p>
    <w:p w14:paraId="48F8F5D6" w14:textId="77777777" w:rsidR="007A2736" w:rsidRPr="00C57832" w:rsidRDefault="007A2736" w:rsidP="007A2736">
      <w:pPr>
        <w:spacing w:before="120"/>
        <w:jc w:val="both"/>
        <w:rPr>
          <w:szCs w:val="18"/>
          <w:lang w:val="fr-BE"/>
        </w:rPr>
      </w:pPr>
      <w:r w:rsidRPr="00C57832">
        <w:rPr>
          <w:szCs w:val="18"/>
          <w:lang w:val="fr-BE"/>
        </w:rPr>
        <w:t>- en format XML (à remplir par le candidat) ;</w:t>
      </w:r>
    </w:p>
    <w:p w14:paraId="11FC00A1" w14:textId="77777777" w:rsidR="007A2736" w:rsidRPr="00C57832" w:rsidRDefault="007A2736" w:rsidP="007A2736">
      <w:pPr>
        <w:spacing w:before="120"/>
        <w:jc w:val="both"/>
        <w:rPr>
          <w:szCs w:val="18"/>
          <w:lang w:val="fr-BE"/>
        </w:rPr>
      </w:pPr>
    </w:p>
    <w:p w14:paraId="0BB0CF3F" w14:textId="77777777" w:rsidR="007A2736" w:rsidRPr="00C57832" w:rsidRDefault="007A2736" w:rsidP="007A2736">
      <w:pPr>
        <w:spacing w:before="120"/>
        <w:jc w:val="both"/>
        <w:rPr>
          <w:szCs w:val="18"/>
          <w:lang w:val="fr-BE"/>
        </w:rPr>
      </w:pPr>
      <w:r w:rsidRPr="00C57832">
        <w:rPr>
          <w:szCs w:val="18"/>
          <w:lang w:val="fr-BE"/>
        </w:rPr>
        <w:t>En vue de l'élaboration et de l'interprétation du modèle DUME, le soumissionnaire doit procéder comme suit :</w:t>
      </w:r>
    </w:p>
    <w:p w14:paraId="190B648D" w14:textId="77777777" w:rsidR="007A2736" w:rsidRPr="00C57832" w:rsidRDefault="007A2736" w:rsidP="00C127EC">
      <w:pPr>
        <w:spacing w:before="120"/>
        <w:ind w:left="426"/>
        <w:jc w:val="both"/>
        <w:rPr>
          <w:szCs w:val="18"/>
          <w:lang w:val="fr-BE"/>
        </w:rPr>
      </w:pPr>
      <w:r w:rsidRPr="00C57832">
        <w:rPr>
          <w:szCs w:val="18"/>
          <w:lang w:val="fr-BE"/>
        </w:rPr>
        <w:t>1) Allez sur le site https://dume.publicprocurement.be</w:t>
      </w:r>
    </w:p>
    <w:p w14:paraId="651D45B2" w14:textId="77777777" w:rsidR="007A2736" w:rsidRPr="00C57832" w:rsidRDefault="007A2736" w:rsidP="00C127EC">
      <w:pPr>
        <w:spacing w:before="120"/>
        <w:ind w:left="426"/>
        <w:jc w:val="both"/>
        <w:rPr>
          <w:szCs w:val="18"/>
          <w:lang w:val="fr-BE"/>
        </w:rPr>
      </w:pPr>
      <w:r w:rsidRPr="00C57832">
        <w:rPr>
          <w:szCs w:val="18"/>
          <w:lang w:val="fr-BE"/>
        </w:rPr>
        <w:t>2) A la question « Qui êtes-vous ? », répondez « Je suis un entrepreneur » ;</w:t>
      </w:r>
    </w:p>
    <w:p w14:paraId="2F079AA7" w14:textId="5B34E164" w:rsidR="007A2736" w:rsidRPr="00C57832" w:rsidRDefault="007A2736" w:rsidP="00C127EC">
      <w:pPr>
        <w:spacing w:before="120"/>
        <w:ind w:left="426"/>
        <w:jc w:val="both"/>
        <w:rPr>
          <w:szCs w:val="18"/>
          <w:lang w:val="fr-BE"/>
        </w:rPr>
      </w:pPr>
      <w:r w:rsidRPr="00C57832">
        <w:rPr>
          <w:szCs w:val="18"/>
          <w:lang w:val="fr-BE"/>
        </w:rPr>
        <w:lastRenderedPageBreak/>
        <w:t xml:space="preserve">3) A la question « Quelle action souhaitez-vous </w:t>
      </w:r>
      <w:r w:rsidR="00236EFC" w:rsidRPr="00C57832">
        <w:rPr>
          <w:szCs w:val="18"/>
          <w:lang w:val="fr-BE"/>
        </w:rPr>
        <w:t>effectuer ? »</w:t>
      </w:r>
      <w:r w:rsidRPr="00C57832">
        <w:rPr>
          <w:szCs w:val="18"/>
          <w:lang w:val="fr-BE"/>
        </w:rPr>
        <w:t>, répondez "Importer un DUME (demande ou réponse)" ;</w:t>
      </w:r>
    </w:p>
    <w:p w14:paraId="51C4BC1A" w14:textId="77777777" w:rsidR="007A2736" w:rsidRPr="00C57832" w:rsidRDefault="007A2736" w:rsidP="00C127EC">
      <w:pPr>
        <w:spacing w:before="120"/>
        <w:ind w:left="426"/>
        <w:jc w:val="both"/>
        <w:rPr>
          <w:szCs w:val="18"/>
          <w:lang w:val="fr-BE"/>
        </w:rPr>
      </w:pPr>
      <w:r w:rsidRPr="00C57832">
        <w:rPr>
          <w:szCs w:val="18"/>
          <w:lang w:val="fr-BE"/>
        </w:rPr>
        <w:t>4) Importer le modèle DUME mis à la disposition du présent cahier des charges par l'adjudicateur en format XML ;</w:t>
      </w:r>
    </w:p>
    <w:p w14:paraId="03711D92" w14:textId="77777777" w:rsidR="007A2736" w:rsidRPr="00C57832" w:rsidRDefault="007A2736" w:rsidP="00C127EC">
      <w:pPr>
        <w:spacing w:before="120"/>
        <w:ind w:left="426"/>
        <w:jc w:val="both"/>
        <w:rPr>
          <w:szCs w:val="18"/>
          <w:lang w:val="fr-BE"/>
        </w:rPr>
      </w:pPr>
      <w:r w:rsidRPr="00C57832">
        <w:rPr>
          <w:szCs w:val="18"/>
          <w:lang w:val="fr-BE"/>
        </w:rPr>
        <w:t>5) Sélectionnez votre pays et cliquez sur "Suivant" ;</w:t>
      </w:r>
    </w:p>
    <w:p w14:paraId="258821A3" w14:textId="77777777" w:rsidR="007A2736" w:rsidRPr="00C57832" w:rsidRDefault="007A2736" w:rsidP="00C127EC">
      <w:pPr>
        <w:spacing w:before="120"/>
        <w:ind w:left="426"/>
        <w:jc w:val="both"/>
        <w:rPr>
          <w:szCs w:val="18"/>
          <w:lang w:val="fr-BE"/>
        </w:rPr>
      </w:pPr>
      <w:r w:rsidRPr="00C57832">
        <w:rPr>
          <w:szCs w:val="18"/>
          <w:lang w:val="fr-BE"/>
        </w:rPr>
        <w:t>Cahier des charges tri P+MC – Phase définitive – Version finale - 13.02.2019</w:t>
      </w:r>
    </w:p>
    <w:p w14:paraId="727F3B82" w14:textId="77777777" w:rsidR="007A2736" w:rsidRPr="00C57832" w:rsidRDefault="007A2736" w:rsidP="00C127EC">
      <w:pPr>
        <w:spacing w:before="120"/>
        <w:ind w:left="426"/>
        <w:jc w:val="both"/>
        <w:rPr>
          <w:szCs w:val="18"/>
          <w:lang w:val="fr-BE"/>
        </w:rPr>
      </w:pPr>
      <w:r w:rsidRPr="00C57832">
        <w:rPr>
          <w:szCs w:val="18"/>
          <w:lang w:val="fr-BE"/>
        </w:rPr>
        <w:t>6) Remplissez le formulaire et répondez à toutes les questions / sections ouvertes ;</w:t>
      </w:r>
    </w:p>
    <w:p w14:paraId="161AED81" w14:textId="77777777" w:rsidR="007A2736" w:rsidRPr="00C57832" w:rsidRDefault="007A2736" w:rsidP="00C127EC">
      <w:pPr>
        <w:spacing w:before="120"/>
        <w:ind w:left="426"/>
        <w:jc w:val="both"/>
        <w:rPr>
          <w:szCs w:val="18"/>
          <w:lang w:val="fr-BE"/>
        </w:rPr>
      </w:pPr>
      <w:r w:rsidRPr="00C57832">
        <w:rPr>
          <w:szCs w:val="18"/>
          <w:lang w:val="fr-BE"/>
        </w:rPr>
        <w:t>7) Une fois le formulaire complété, cliquez sur "Aperçu" au bas de la page. Le DUME que vous avez rempli s'affiche et peut être téléchargé en format XML et PDF.</w:t>
      </w:r>
    </w:p>
    <w:p w14:paraId="22162A55" w14:textId="77777777" w:rsidR="007A2736" w:rsidRPr="00C57832" w:rsidRDefault="007A2736" w:rsidP="00C127EC">
      <w:pPr>
        <w:spacing w:before="120"/>
        <w:ind w:left="426"/>
        <w:jc w:val="both"/>
        <w:rPr>
          <w:szCs w:val="18"/>
          <w:lang w:val="fr-BE"/>
        </w:rPr>
      </w:pPr>
      <w:r w:rsidRPr="00C57832">
        <w:rPr>
          <w:szCs w:val="18"/>
          <w:lang w:val="fr-BE"/>
        </w:rPr>
        <w:t>8) Ajoutez le DUME complété en format PDF et XML à l’offre.</w:t>
      </w:r>
    </w:p>
    <w:p w14:paraId="4762C8C2" w14:textId="77777777" w:rsidR="007A2736" w:rsidRPr="00C57832" w:rsidRDefault="007A2736" w:rsidP="007A2736">
      <w:pPr>
        <w:spacing w:before="120"/>
        <w:jc w:val="both"/>
        <w:rPr>
          <w:szCs w:val="18"/>
          <w:lang w:val="fr-BE"/>
        </w:rPr>
      </w:pPr>
      <w:r w:rsidRPr="00C57832">
        <w:rPr>
          <w:szCs w:val="18"/>
          <w:lang w:val="fr-BE"/>
        </w:rPr>
        <w:t>Le soumissionnaire doit, de sa propre initiative, indiquer toute mesure corrective dans le présent DUME</w:t>
      </w:r>
    </w:p>
    <w:p w14:paraId="33BC9810" w14:textId="77777777" w:rsidR="007A2736" w:rsidRPr="00C57832" w:rsidRDefault="007A2736" w:rsidP="007A2736">
      <w:pPr>
        <w:spacing w:before="120"/>
        <w:jc w:val="both"/>
        <w:rPr>
          <w:szCs w:val="18"/>
          <w:lang w:val="fr-BE"/>
        </w:rPr>
      </w:pPr>
      <w:r w:rsidRPr="00C57832">
        <w:rPr>
          <w:szCs w:val="18"/>
          <w:lang w:val="fr-BE"/>
        </w:rPr>
        <w:t>Lorsque le soumissionnaire est une coopération entre différentes personnes morales ou physiques, le DUME doit être complété et présenté par toute personne physique ou morale membre de cette coopération.</w:t>
      </w:r>
    </w:p>
    <w:p w14:paraId="652272A1" w14:textId="77777777" w:rsidR="007A2736" w:rsidRPr="00C57832" w:rsidRDefault="007A2736" w:rsidP="007A2736">
      <w:pPr>
        <w:spacing w:before="120"/>
        <w:jc w:val="both"/>
        <w:rPr>
          <w:szCs w:val="18"/>
          <w:lang w:val="fr-BE"/>
        </w:rPr>
      </w:pPr>
      <w:r w:rsidRPr="00C57832">
        <w:rPr>
          <w:szCs w:val="18"/>
          <w:lang w:val="fr-BE"/>
        </w:rPr>
        <w:t>Lorsque le soumissionnaire a recours à la capacité d'une ou de plusieurs autres entités, ces entités doivent également soumettre un DUME contenant les informations demandées dans la partie II, sections A et B et dans la partie III.</w:t>
      </w:r>
    </w:p>
    <w:p w14:paraId="75947C00" w14:textId="77777777" w:rsidR="007A2736" w:rsidRPr="00C57832" w:rsidRDefault="007A2736" w:rsidP="007A2736">
      <w:pPr>
        <w:spacing w:before="120"/>
        <w:jc w:val="both"/>
        <w:rPr>
          <w:szCs w:val="18"/>
          <w:lang w:val="fr-BE"/>
        </w:rPr>
      </w:pPr>
      <w:r w:rsidRPr="00C57832">
        <w:rPr>
          <w:szCs w:val="18"/>
          <w:lang w:val="fr-BE"/>
        </w:rPr>
        <w:t>Les opérateurs économiques qui ont déjà utilisé un Document unique de marché européen pour une procédure antérieure de marché public peuvent le réutiliser, moyennant confirmation que les données y inscrites sont toujours correctes.</w:t>
      </w:r>
    </w:p>
    <w:p w14:paraId="5C661352" w14:textId="77777777" w:rsidR="007A2736" w:rsidRPr="00C57832" w:rsidRDefault="007A2736" w:rsidP="007A2736">
      <w:pPr>
        <w:spacing w:before="120"/>
        <w:jc w:val="both"/>
        <w:rPr>
          <w:szCs w:val="18"/>
          <w:lang w:val="fr-BE"/>
        </w:rPr>
      </w:pPr>
    </w:p>
    <w:p w14:paraId="53000C6D" w14:textId="77777777" w:rsidR="007A2736" w:rsidRPr="00C57832" w:rsidRDefault="007A2736" w:rsidP="007A2736">
      <w:pPr>
        <w:spacing w:before="120"/>
        <w:jc w:val="both"/>
        <w:rPr>
          <w:szCs w:val="18"/>
          <w:lang w:val="fr-BE"/>
        </w:rPr>
      </w:pPr>
      <w:r w:rsidRPr="00C57832">
        <w:rPr>
          <w:szCs w:val="18"/>
          <w:lang w:val="fr-BE"/>
        </w:rPr>
        <w:t>§ 2. L’Adjudicateur peut procéder à l’examen des offres dès qu’il a vérifié l’absence de motifs d’exclusion et la satisfaction des critères de sélection sur la simple base du DUME. Autrement dit, on peut, à ce stade, procéder à l’évaluation des offres sans autre contrôle approfondi de l’absence de motifs d’exclusions et de la satisfaction des critères de sélection.</w:t>
      </w:r>
    </w:p>
    <w:p w14:paraId="43E9910E" w14:textId="77777777" w:rsidR="007A2736" w:rsidRPr="00C57832" w:rsidRDefault="007A2736" w:rsidP="007A2736">
      <w:pPr>
        <w:spacing w:before="120"/>
        <w:jc w:val="both"/>
        <w:rPr>
          <w:szCs w:val="18"/>
          <w:lang w:val="fr-BE"/>
        </w:rPr>
      </w:pPr>
      <w:r w:rsidRPr="00C57832">
        <w:rPr>
          <w:szCs w:val="18"/>
          <w:lang w:val="fr-BE"/>
        </w:rPr>
        <w:t>Avant de pouvoir faire usage de cette possibilité, l’Adjudicateur vérifie cependant bien l’absence de dettes fiscales et sociales conformément à l’article 68 de la Loi relative aux marchés publics et des articles 62 et 63 de l’AR Passation, et il évalue, le cas échéant, les mesures correctives visées à l’article 70 de la Loi relative aux marchés publics.</w:t>
      </w:r>
    </w:p>
    <w:p w14:paraId="726EAFA8" w14:textId="77777777" w:rsidR="007A2736" w:rsidRPr="00C57832" w:rsidRDefault="007A2736" w:rsidP="007A2736">
      <w:pPr>
        <w:spacing w:before="120"/>
        <w:jc w:val="both"/>
        <w:rPr>
          <w:szCs w:val="18"/>
          <w:lang w:val="fr-BE"/>
        </w:rPr>
      </w:pPr>
      <w:r w:rsidRPr="00C57832">
        <w:rPr>
          <w:szCs w:val="18"/>
          <w:lang w:val="fr-BE"/>
        </w:rPr>
        <w:t>L’Adjudicateur peut, à tout moment durant la procédure, demander au soumissionnaire de remettre tous ou une partie des documents d’appui exigés lorsque c’est nécessaire pour le bon déroulement de la procédure.</w:t>
      </w:r>
    </w:p>
    <w:p w14:paraId="1B55BD9D" w14:textId="77777777" w:rsidR="007A2736" w:rsidRPr="00C57832" w:rsidRDefault="007A2736" w:rsidP="007A2736">
      <w:pPr>
        <w:spacing w:before="120"/>
        <w:jc w:val="both"/>
        <w:rPr>
          <w:szCs w:val="18"/>
          <w:lang w:val="fr-BE"/>
        </w:rPr>
      </w:pPr>
      <w:r w:rsidRPr="00C57832">
        <w:rPr>
          <w:szCs w:val="18"/>
          <w:lang w:val="fr-BE"/>
        </w:rPr>
        <w:t>Avant l’attribution du Marché, l’Adjudicateur demande au soumissionnaire auquel il a décidé d’octroyer le Marché, de présenter les documents d’appui actuels.</w:t>
      </w:r>
    </w:p>
    <w:p w14:paraId="4357F3FF" w14:textId="77777777" w:rsidR="007A2736" w:rsidRPr="00C57832" w:rsidRDefault="007A2736" w:rsidP="007A2736">
      <w:pPr>
        <w:spacing w:before="120"/>
        <w:jc w:val="both"/>
        <w:rPr>
          <w:szCs w:val="18"/>
          <w:lang w:val="fr-BE"/>
        </w:rPr>
      </w:pPr>
      <w:r w:rsidRPr="00C57832">
        <w:rPr>
          <w:szCs w:val="18"/>
          <w:lang w:val="fr-BE"/>
        </w:rPr>
        <w:t>Si les documents ou informations demandés par l’Adjudicateur ne sont pas fournis ou ne le sont pas à temps, le Soumissionnaire peut se voir refuser le Marché.</w:t>
      </w:r>
    </w:p>
    <w:p w14:paraId="20384DD0" w14:textId="77777777" w:rsidR="007A2736" w:rsidRPr="00C57832" w:rsidRDefault="007A2736" w:rsidP="007A2736">
      <w:pPr>
        <w:spacing w:before="120"/>
        <w:jc w:val="both"/>
        <w:rPr>
          <w:szCs w:val="18"/>
          <w:lang w:val="fr-BE"/>
        </w:rPr>
      </w:pPr>
    </w:p>
    <w:p w14:paraId="2B0DE5AD" w14:textId="3EA10E4D" w:rsidR="007A2736" w:rsidRPr="00C57832" w:rsidRDefault="007A2736" w:rsidP="007A2736">
      <w:pPr>
        <w:spacing w:before="120"/>
        <w:jc w:val="both"/>
        <w:rPr>
          <w:szCs w:val="18"/>
          <w:lang w:val="fr-BE"/>
        </w:rPr>
      </w:pPr>
      <w:r w:rsidRPr="00C57832">
        <w:rPr>
          <w:szCs w:val="18"/>
          <w:lang w:val="fr-BE"/>
        </w:rPr>
        <w:t>§3 Afin de ne pas compromettre le déroulement de la procédure de passation du marché, les soumissionnaires sont invités à obtenir à ce stade le certificat de casier judiciaire, qui ne peut être demandé directement par le pouvoir adjudicateur via les bases de données (</w:t>
      </w:r>
      <w:proofErr w:type="spellStart"/>
      <w:r w:rsidRPr="00C57832">
        <w:rPr>
          <w:szCs w:val="18"/>
          <w:lang w:val="fr-BE"/>
        </w:rPr>
        <w:t>télémarc</w:t>
      </w:r>
      <w:proofErr w:type="spellEnd"/>
      <w:r w:rsidRPr="00C57832">
        <w:rPr>
          <w:szCs w:val="18"/>
          <w:lang w:val="fr-BE"/>
        </w:rPr>
        <w:t>/</w:t>
      </w:r>
      <w:proofErr w:type="spellStart"/>
      <w:r w:rsidRPr="00C57832">
        <w:rPr>
          <w:szCs w:val="18"/>
          <w:lang w:val="fr-BE"/>
        </w:rPr>
        <w:t>digiflow</w:t>
      </w:r>
      <w:proofErr w:type="spellEnd"/>
      <w:r w:rsidRPr="00C57832">
        <w:rPr>
          <w:szCs w:val="18"/>
          <w:lang w:val="fr-BE"/>
        </w:rPr>
        <w:t>) mises gratuitement à sa disposition.</w:t>
      </w:r>
    </w:p>
    <w:p w14:paraId="4F30F1C4" w14:textId="77777777" w:rsidR="007A2736" w:rsidRPr="00C57832" w:rsidRDefault="007A2736" w:rsidP="007A2736">
      <w:pPr>
        <w:spacing w:before="120"/>
        <w:jc w:val="both"/>
        <w:rPr>
          <w:szCs w:val="18"/>
          <w:lang w:val="fr-BE"/>
        </w:rPr>
      </w:pPr>
    </w:p>
    <w:p w14:paraId="23B7D6D4" w14:textId="77777777" w:rsidR="007A2736" w:rsidRPr="00C57832" w:rsidRDefault="007A2736" w:rsidP="007A2736">
      <w:pPr>
        <w:spacing w:before="120"/>
        <w:jc w:val="both"/>
        <w:rPr>
          <w:szCs w:val="18"/>
          <w:lang w:val="fr-BE"/>
        </w:rPr>
      </w:pPr>
      <w:r w:rsidRPr="00C57832">
        <w:rPr>
          <w:szCs w:val="18"/>
          <w:lang w:val="fr-BE"/>
        </w:rPr>
        <w:lastRenderedPageBreak/>
        <w:t xml:space="preserve">Les personnes physiques ou morales belges peuvent en faire la demande via just.fgov.be. Il vous suffit d'indiquer le nom (de la société), l'adresse, le numéro de TVA et le motif de la demande ("dans le cadre de l'enquête sur l'offre d'un marché public"). Le certificat vous sera alors envoyé par la poste.  </w:t>
      </w:r>
    </w:p>
    <w:p w14:paraId="5EB948B3" w14:textId="77777777" w:rsidR="007A2736" w:rsidRPr="00C57832" w:rsidRDefault="007A2736" w:rsidP="007A2736">
      <w:pPr>
        <w:spacing w:before="120"/>
        <w:jc w:val="both"/>
        <w:rPr>
          <w:szCs w:val="18"/>
          <w:lang w:val="fr-BE"/>
        </w:rPr>
      </w:pPr>
    </w:p>
    <w:p w14:paraId="0526D206" w14:textId="77777777" w:rsidR="007A2736" w:rsidRPr="00C57832" w:rsidRDefault="007A2736" w:rsidP="007A2736">
      <w:pPr>
        <w:spacing w:before="120"/>
        <w:jc w:val="both"/>
        <w:rPr>
          <w:szCs w:val="18"/>
          <w:lang w:val="fr-BE"/>
        </w:rPr>
      </w:pPr>
      <w:r w:rsidRPr="00C57832">
        <w:rPr>
          <w:szCs w:val="18"/>
          <w:lang w:val="fr-BE"/>
        </w:rPr>
        <w:t xml:space="preserve">Si vous êtes déjà en possession d'un tel certificat, </w:t>
      </w:r>
      <w:proofErr w:type="spellStart"/>
      <w:r w:rsidRPr="00C57832">
        <w:rPr>
          <w:szCs w:val="18"/>
          <w:lang w:val="fr-BE"/>
        </w:rPr>
        <w:t>veuillez vous</w:t>
      </w:r>
      <w:proofErr w:type="spellEnd"/>
      <w:r w:rsidRPr="00C57832">
        <w:rPr>
          <w:szCs w:val="18"/>
          <w:lang w:val="fr-BE"/>
        </w:rPr>
        <w:t xml:space="preserve"> assurer qu'il ne date pas de plus de six (6) mois avant la date de soumission des offres.</w:t>
      </w:r>
    </w:p>
    <w:p w14:paraId="3D53DF3C" w14:textId="77777777" w:rsidR="007A2736" w:rsidRPr="00C57832" w:rsidRDefault="007A2736" w:rsidP="007A2736">
      <w:pPr>
        <w:spacing w:before="120"/>
        <w:jc w:val="both"/>
        <w:rPr>
          <w:szCs w:val="18"/>
          <w:lang w:val="fr-BE"/>
        </w:rPr>
      </w:pPr>
    </w:p>
    <w:p w14:paraId="04F3917B" w14:textId="77777777" w:rsidR="00E00E32" w:rsidRPr="00DF6753" w:rsidRDefault="007A2736" w:rsidP="00E00E32">
      <w:pPr>
        <w:pStyle w:val="Titre3"/>
        <w:spacing w:after="100" w:afterAutospacing="1"/>
        <w:rPr>
          <w:rFonts w:cs="Times New Roman"/>
          <w:bCs w:val="0"/>
          <w:sz w:val="18"/>
          <w:szCs w:val="24"/>
          <w:lang w:val="fr-BE"/>
        </w:rPr>
      </w:pPr>
      <w:r w:rsidRPr="00C57832">
        <w:rPr>
          <w:rFonts w:cs="Times New Roman"/>
          <w:b/>
          <w:bCs w:val="0"/>
          <w:sz w:val="18"/>
          <w:szCs w:val="24"/>
          <w:lang w:val="fr-BE"/>
        </w:rPr>
        <w:t>Attention</w:t>
      </w:r>
      <w:r w:rsidRPr="00C57832">
        <w:rPr>
          <w:rFonts w:cs="Times New Roman"/>
          <w:bCs w:val="0"/>
          <w:sz w:val="18"/>
          <w:szCs w:val="24"/>
          <w:lang w:val="fr-BE"/>
        </w:rPr>
        <w:t xml:space="preserve"> : Si le soumissionnaire est une personne morale, un extrait de casier judiciaire doit être produit non seulement au nom du déclarant lui-même, mais aussi au nom de toutes les personnes qui sont membres de l'organe d'administration, de gestion ou de surveillance du soumissionnaire ou au nom des personnes ayant un pouvoir de représentation, de </w:t>
      </w:r>
      <w:r w:rsidRPr="00DF6753">
        <w:rPr>
          <w:rFonts w:cs="Times New Roman"/>
          <w:bCs w:val="0"/>
          <w:sz w:val="18"/>
          <w:szCs w:val="24"/>
          <w:lang w:val="fr-BE"/>
        </w:rPr>
        <w:t>décision ou de contrôle dans celui-ci. Lorsque le soumissionnaire est un groupe, cela s'applique à chacune des entités juridiques faisant partie du groupe. Si les tiers invoqués par le soumissionnaire sont des personnes morales, il en va de même à leur égard.</w:t>
      </w:r>
      <w:bookmarkStart w:id="80" w:name="_Toc200945511"/>
      <w:bookmarkStart w:id="81" w:name="_Toc201025142"/>
      <w:bookmarkStart w:id="82" w:name="_Toc201587449"/>
      <w:bookmarkStart w:id="83" w:name="_Toc513197752"/>
    </w:p>
    <w:p w14:paraId="397C7E4A" w14:textId="0D7A9FBE" w:rsidR="006B4934" w:rsidRPr="00DF6753" w:rsidRDefault="006B4934" w:rsidP="00BB166A">
      <w:pPr>
        <w:pStyle w:val="Titre3"/>
        <w:numPr>
          <w:ilvl w:val="0"/>
          <w:numId w:val="24"/>
        </w:numPr>
        <w:spacing w:after="100" w:afterAutospacing="1"/>
        <w:rPr>
          <w:b/>
          <w:iCs/>
          <w:sz w:val="24"/>
          <w:szCs w:val="28"/>
          <w:lang w:val="fr-BE" w:eastAsia="nl-NL"/>
        </w:rPr>
      </w:pPr>
      <w:bookmarkStart w:id="84" w:name="_Toc200945512"/>
      <w:bookmarkStart w:id="85" w:name="_Toc201025143"/>
      <w:bookmarkStart w:id="86" w:name="_Toc201587450"/>
      <w:bookmarkStart w:id="87" w:name="_Toc513197753"/>
      <w:bookmarkEnd w:id="80"/>
      <w:bookmarkEnd w:id="81"/>
      <w:bookmarkEnd w:id="82"/>
      <w:bookmarkEnd w:id="83"/>
      <w:r w:rsidRPr="00DF6753">
        <w:rPr>
          <w:b/>
          <w:iCs/>
          <w:sz w:val="24"/>
          <w:szCs w:val="28"/>
          <w:lang w:val="fr-BE" w:eastAsia="nl-NL"/>
        </w:rPr>
        <w:t>Critères d’attribution</w:t>
      </w:r>
      <w:bookmarkEnd w:id="84"/>
      <w:bookmarkEnd w:id="85"/>
      <w:bookmarkEnd w:id="86"/>
      <w:bookmarkEnd w:id="87"/>
      <w:r w:rsidR="007A2736" w:rsidRPr="00DF6753">
        <w:rPr>
          <w:b/>
          <w:iCs/>
          <w:sz w:val="24"/>
          <w:szCs w:val="28"/>
          <w:lang w:val="fr-BE" w:eastAsia="nl-NL"/>
        </w:rPr>
        <w:t>/critère d’attribution ‘prix’</w:t>
      </w:r>
    </w:p>
    <w:p w14:paraId="397C7E4C" w14:textId="6C9A903B" w:rsidR="006B4934" w:rsidRPr="00DF6753" w:rsidRDefault="006B4934">
      <w:pPr>
        <w:rPr>
          <w:lang w:val="fr-BE"/>
        </w:rPr>
      </w:pPr>
      <w:r w:rsidRPr="00DF6753">
        <w:rPr>
          <w:lang w:val="fr-BE"/>
        </w:rPr>
        <w:t>Pour le choix de l’offre</w:t>
      </w:r>
      <w:r w:rsidR="00AD15CC" w:rsidRPr="00DF6753">
        <w:rPr>
          <w:szCs w:val="18"/>
          <w:lang w:val="fr-BE"/>
        </w:rPr>
        <w:t xml:space="preserve"> économiquement</w:t>
      </w:r>
      <w:r w:rsidRPr="00DF6753">
        <w:rPr>
          <w:lang w:val="fr-BE"/>
        </w:rPr>
        <w:t xml:space="preserve"> la plus </w:t>
      </w:r>
      <w:r w:rsidR="00AD15CC" w:rsidRPr="00DF6753">
        <w:rPr>
          <w:szCs w:val="18"/>
          <w:lang w:val="fr-BE"/>
        </w:rPr>
        <w:t>avantageuse, tenant compte du meilleur rapport qualité-prix,</w:t>
      </w:r>
      <w:r w:rsidRPr="00DF6753">
        <w:rPr>
          <w:lang w:val="fr-BE"/>
        </w:rPr>
        <w:t xml:space="preserve"> les offres régulières des soumissionnaires sélectionnés seront évaluées sur base de plusieurs critères d’attribution. Ces critères seront pondérés afin d’obtenir un classement final. </w:t>
      </w:r>
    </w:p>
    <w:p w14:paraId="397C7E4D" w14:textId="5B10C757" w:rsidR="006B4934" w:rsidRPr="00DF6753" w:rsidRDefault="006B4934">
      <w:pPr>
        <w:rPr>
          <w:lang w:val="fr-BE"/>
        </w:rPr>
      </w:pPr>
      <w:r w:rsidRPr="00DF6753">
        <w:rPr>
          <w:lang w:val="fr-BE"/>
        </w:rPr>
        <w:t>Si les soumissionnaires ont proposé une réduction de prix</w:t>
      </w:r>
      <w:r w:rsidR="00671222" w:rsidRPr="00DF6753">
        <w:rPr>
          <w:lang w:val="fr-BE"/>
        </w:rPr>
        <w:t>,</w:t>
      </w:r>
      <w:r w:rsidRPr="00DF6753">
        <w:rPr>
          <w:lang w:val="fr-BE"/>
        </w:rPr>
        <w:t xml:space="preserve"> en cas de regroupement de différents lots, le choix du prestataire de services est déterminé par les lots groupés</w:t>
      </w:r>
      <w:r w:rsidR="00E67695" w:rsidRPr="00DF6753">
        <w:rPr>
          <w:lang w:val="fr-BE"/>
        </w:rPr>
        <w:t xml:space="preserve"> qui constituent économiquement l’ensemble le plus avantageux des lots</w:t>
      </w:r>
      <w:r w:rsidRPr="00DF6753">
        <w:rPr>
          <w:lang w:val="fr-BE"/>
        </w:rPr>
        <w:t>.</w:t>
      </w:r>
      <w:r w:rsidR="000F17E6" w:rsidRPr="00DF6753">
        <w:rPr>
          <w:lang w:val="fr-BE"/>
        </w:rPr>
        <w:t xml:space="preserve"> </w:t>
      </w:r>
    </w:p>
    <w:p w14:paraId="397C7E4E" w14:textId="77777777" w:rsidR="006B4934" w:rsidRPr="00DF6753" w:rsidRDefault="006B4934">
      <w:pPr>
        <w:rPr>
          <w:lang w:val="fr-BE"/>
        </w:rPr>
      </w:pPr>
      <w:r w:rsidRPr="00DF6753">
        <w:rPr>
          <w:lang w:val="fr-BE"/>
        </w:rPr>
        <w:t>Les critères d’attribution et leur importance respective lors de l’évaluation sont les suivants :</w:t>
      </w:r>
    </w:p>
    <w:p w14:paraId="397C7E4F" w14:textId="5E6A6321" w:rsidR="006B4934" w:rsidRPr="00DF6753" w:rsidRDefault="006B4934" w:rsidP="00451860">
      <w:pPr>
        <w:pStyle w:val="Listenumros"/>
        <w:numPr>
          <w:ilvl w:val="0"/>
          <w:numId w:val="3"/>
        </w:numPr>
        <w:rPr>
          <w:rFonts w:eastAsia="Times New Roman"/>
          <w:b/>
          <w:lang w:val="fr-BE" w:eastAsia="nl-NL"/>
        </w:rPr>
      </w:pPr>
      <w:r w:rsidRPr="00DF6753">
        <w:rPr>
          <w:rFonts w:eastAsia="Times New Roman"/>
          <w:b/>
          <w:lang w:val="fr-BE" w:eastAsia="nl-NL"/>
        </w:rPr>
        <w:t>Pr</w:t>
      </w:r>
      <w:r w:rsidR="00DF6753">
        <w:rPr>
          <w:rFonts w:eastAsia="Times New Roman"/>
          <w:b/>
          <w:lang w:val="fr-BE" w:eastAsia="nl-NL"/>
        </w:rPr>
        <w:t>ix de la prestation de services</w:t>
      </w:r>
      <w:r w:rsidRPr="00DF6753">
        <w:rPr>
          <w:rFonts w:eastAsia="Times New Roman"/>
          <w:b/>
          <w:lang w:val="fr-BE" w:eastAsia="nl-NL"/>
        </w:rPr>
        <w:t xml:space="preserve"> </w:t>
      </w:r>
      <w:r w:rsidR="00CC3D72" w:rsidRPr="00DF6753">
        <w:rPr>
          <w:rFonts w:eastAsia="Times New Roman"/>
          <w:b/>
          <w:lang w:val="fr-BE" w:eastAsia="nl-NL"/>
        </w:rPr>
        <w:t>55</w:t>
      </w:r>
      <w:r w:rsidR="00386B13" w:rsidRPr="00DF6753">
        <w:rPr>
          <w:rFonts w:eastAsia="Times New Roman"/>
          <w:b/>
          <w:lang w:val="fr-BE" w:eastAsia="nl-NL"/>
        </w:rPr>
        <w:t xml:space="preserve"> points + ou – </w:t>
      </w:r>
      <w:r w:rsidR="005B552C" w:rsidRPr="00DF6753">
        <w:rPr>
          <w:rFonts w:eastAsia="Times New Roman"/>
          <w:b/>
          <w:lang w:val="fr-BE" w:eastAsia="nl-NL"/>
        </w:rPr>
        <w:t>15</w:t>
      </w:r>
      <w:r w:rsidR="00386B13" w:rsidRPr="00DF6753">
        <w:rPr>
          <w:rFonts w:eastAsia="Times New Roman"/>
          <w:b/>
          <w:lang w:val="fr-BE" w:eastAsia="nl-NL"/>
        </w:rPr>
        <w:t xml:space="preserve"> points</w:t>
      </w:r>
    </w:p>
    <w:p w14:paraId="397C7E50" w14:textId="77777777" w:rsidR="006B4934" w:rsidRPr="00DF6753" w:rsidRDefault="006B4934">
      <w:pPr>
        <w:pStyle w:val="Listenumros"/>
        <w:rPr>
          <w:rFonts w:eastAsia="Times New Roman"/>
          <w:lang w:val="fr-BE" w:eastAsia="nl-NL"/>
        </w:rPr>
      </w:pPr>
    </w:p>
    <w:p w14:paraId="332D8CF7" w14:textId="6D1844B7" w:rsidR="00CC3D72" w:rsidRPr="00DF6753" w:rsidRDefault="006B4934" w:rsidP="00CC3D72">
      <w:pPr>
        <w:pStyle w:val="Listenumros"/>
        <w:ind w:left="644"/>
        <w:rPr>
          <w:b/>
          <w:lang w:val="fr-BE"/>
        </w:rPr>
      </w:pPr>
      <w:r w:rsidRPr="00DF6753">
        <w:rPr>
          <w:rFonts w:eastAsia="Times New Roman"/>
          <w:lang w:val="fr-BE" w:eastAsia="nl-NL"/>
        </w:rPr>
        <w:t xml:space="preserve">L'offre la plus avantageuse obtient le maximum de points, les autres offres obtiennent des points proportionnellement à l'offre au plus bas prix à </w:t>
      </w:r>
      <w:proofErr w:type="gramStart"/>
      <w:r w:rsidRPr="00DF6753">
        <w:rPr>
          <w:rFonts w:eastAsia="Times New Roman"/>
          <w:lang w:val="fr-BE" w:eastAsia="nl-NL"/>
        </w:rPr>
        <w:t>savoir:</w:t>
      </w:r>
      <w:proofErr w:type="gramEnd"/>
      <w:r w:rsidRPr="00DF6753">
        <w:rPr>
          <w:rFonts w:eastAsia="Times New Roman"/>
          <w:lang w:val="fr-BE" w:eastAsia="nl-NL"/>
        </w:rPr>
        <w:t xml:space="preserve"> points offre = prix total offre du meilleur prix/prix total offre x.</w:t>
      </w:r>
      <w:r w:rsidR="00CC3D72" w:rsidRPr="00DF6753">
        <w:rPr>
          <w:rFonts w:eastAsia="Times New Roman"/>
          <w:lang w:val="fr-BE" w:eastAsia="nl-NL"/>
        </w:rPr>
        <w:t xml:space="preserve"> </w:t>
      </w:r>
      <w:r w:rsidR="00CC3D72" w:rsidRPr="00DF6753">
        <w:rPr>
          <w:b/>
          <w:lang w:val="fr-BE"/>
        </w:rPr>
        <w:t xml:space="preserve">55 points + of - </w:t>
      </w:r>
      <w:r w:rsidR="005B552C" w:rsidRPr="00DF6753">
        <w:rPr>
          <w:b/>
          <w:lang w:val="fr-BE"/>
        </w:rPr>
        <w:t>15</w:t>
      </w:r>
      <w:r w:rsidR="00CC3D72" w:rsidRPr="00DF6753">
        <w:rPr>
          <w:b/>
          <w:lang w:val="fr-BE"/>
        </w:rPr>
        <w:t xml:space="preserve"> points</w:t>
      </w:r>
    </w:p>
    <w:p w14:paraId="397C7E52" w14:textId="2416ED6C" w:rsidR="006B4934" w:rsidRPr="00DF6753" w:rsidRDefault="006B4934" w:rsidP="006E05DE">
      <w:pPr>
        <w:pStyle w:val="Listenumros"/>
        <w:ind w:left="432"/>
        <w:rPr>
          <w:rFonts w:eastAsia="Times New Roman"/>
          <w:lang w:val="fr-BE" w:eastAsia="nl-NL"/>
        </w:rPr>
      </w:pPr>
    </w:p>
    <w:p w14:paraId="1F2AC687" w14:textId="77777777" w:rsidR="006E05DE" w:rsidRPr="00DF6753" w:rsidRDefault="006E05DE" w:rsidP="006E05DE">
      <w:pPr>
        <w:pStyle w:val="Listenumros"/>
        <w:ind w:left="432"/>
        <w:rPr>
          <w:rFonts w:eastAsia="Times New Roman"/>
          <w:lang w:val="fr-BE" w:eastAsia="nl-NL"/>
        </w:rPr>
      </w:pPr>
    </w:p>
    <w:p w14:paraId="78F50394" w14:textId="42C5BA4A" w:rsidR="00162AAC" w:rsidRPr="00DF6753" w:rsidRDefault="006B4934" w:rsidP="00451860">
      <w:pPr>
        <w:pStyle w:val="Listenumros"/>
        <w:numPr>
          <w:ilvl w:val="0"/>
          <w:numId w:val="3"/>
        </w:numPr>
        <w:rPr>
          <w:lang w:val="fr-BE"/>
        </w:rPr>
      </w:pPr>
      <w:r w:rsidRPr="00DF6753">
        <w:rPr>
          <w:rFonts w:eastAsia="Times New Roman"/>
          <w:b/>
          <w:lang w:val="fr-BE" w:eastAsia="nl-NL"/>
        </w:rPr>
        <w:t>Qualité de</w:t>
      </w:r>
      <w:r w:rsidR="006E7B60" w:rsidRPr="00DF6753">
        <w:rPr>
          <w:rFonts w:eastAsia="Times New Roman"/>
          <w:b/>
          <w:lang w:val="fr-BE" w:eastAsia="nl-NL"/>
        </w:rPr>
        <w:t xml:space="preserve"> la prestation de services</w:t>
      </w:r>
      <w:r w:rsidR="000F0302" w:rsidRPr="00DF6753">
        <w:rPr>
          <w:rStyle w:val="Appelnotedebasdep"/>
          <w:b/>
          <w:szCs w:val="18"/>
          <w:lang w:val="fr-BE"/>
        </w:rPr>
        <w:footnoteReference w:id="8"/>
      </w:r>
      <w:r w:rsidR="00CF60E5" w:rsidRPr="00DF6753">
        <w:rPr>
          <w:rFonts w:eastAsia="Times New Roman"/>
          <w:b/>
          <w:lang w:val="fr-BE" w:eastAsia="nl-NL"/>
        </w:rPr>
        <w:t xml:space="preserve"> </w:t>
      </w:r>
      <w:r w:rsidR="00386B13" w:rsidRPr="00DF6753">
        <w:rPr>
          <w:rFonts w:eastAsia="Times New Roman"/>
          <w:b/>
          <w:lang w:val="fr-BE" w:eastAsia="nl-NL"/>
        </w:rPr>
        <w:t>4</w:t>
      </w:r>
      <w:r w:rsidR="00CC3D72" w:rsidRPr="00DF6753">
        <w:rPr>
          <w:rFonts w:eastAsia="Times New Roman"/>
          <w:b/>
          <w:lang w:val="fr-BE" w:eastAsia="nl-NL"/>
        </w:rPr>
        <w:t>5</w:t>
      </w:r>
      <w:r w:rsidR="00386B13" w:rsidRPr="00DF6753">
        <w:rPr>
          <w:rFonts w:eastAsia="Times New Roman"/>
          <w:b/>
          <w:lang w:val="fr-BE" w:eastAsia="nl-NL"/>
        </w:rPr>
        <w:t xml:space="preserve"> points + ou – </w:t>
      </w:r>
      <w:r w:rsidR="005B552C" w:rsidRPr="00DF6753">
        <w:rPr>
          <w:rFonts w:eastAsia="Times New Roman"/>
          <w:b/>
          <w:lang w:val="fr-BE" w:eastAsia="nl-NL"/>
        </w:rPr>
        <w:t>15</w:t>
      </w:r>
      <w:r w:rsidR="00386B13" w:rsidRPr="00DF6753">
        <w:rPr>
          <w:rFonts w:eastAsia="Times New Roman"/>
          <w:b/>
          <w:lang w:val="fr-BE" w:eastAsia="nl-NL"/>
        </w:rPr>
        <w:t xml:space="preserve"> points</w:t>
      </w:r>
    </w:p>
    <w:p w14:paraId="7124C337" w14:textId="77777777" w:rsidR="004378AE" w:rsidRPr="00DF6753" w:rsidRDefault="004378AE" w:rsidP="004378AE">
      <w:pPr>
        <w:spacing w:after="60"/>
        <w:ind w:left="425"/>
        <w:rPr>
          <w:szCs w:val="18"/>
          <w:lang w:val="fr-BE"/>
        </w:rPr>
      </w:pPr>
    </w:p>
    <w:p w14:paraId="4C3E1F59" w14:textId="5B268E0F" w:rsidR="004378AE" w:rsidRPr="00DF6753" w:rsidRDefault="004378AE" w:rsidP="004378AE">
      <w:pPr>
        <w:spacing w:after="60"/>
        <w:ind w:left="425"/>
        <w:rPr>
          <w:szCs w:val="18"/>
          <w:lang w:val="fr-BE"/>
        </w:rPr>
      </w:pPr>
      <w:r w:rsidRPr="00DF6753">
        <w:rPr>
          <w:szCs w:val="18"/>
          <w:lang w:val="fr-BE"/>
        </w:rPr>
        <w:t xml:space="preserve">Les aspects suivants sont notamment évalués pour ce critère : </w:t>
      </w:r>
    </w:p>
    <w:p w14:paraId="06456D55" w14:textId="77777777" w:rsidR="004378AE" w:rsidRPr="00DF6753" w:rsidRDefault="004378AE" w:rsidP="00BB166A">
      <w:pPr>
        <w:pStyle w:val="Paragraphedeliste"/>
        <w:numPr>
          <w:ilvl w:val="0"/>
          <w:numId w:val="13"/>
        </w:numPr>
        <w:spacing w:after="120"/>
        <w:ind w:hanging="294"/>
        <w:contextualSpacing w:val="0"/>
        <w:rPr>
          <w:szCs w:val="18"/>
          <w:lang w:val="fr-BE"/>
        </w:rPr>
      </w:pPr>
      <w:r w:rsidRPr="00DF6753">
        <w:rPr>
          <w:szCs w:val="18"/>
          <w:lang w:val="fr-BE"/>
        </w:rPr>
        <w:t>Les caractéristiques techniques ainsi que la qualité et le respect de l’environnement des véhicules (de réserve) prévus pour le ramassage ;</w:t>
      </w:r>
    </w:p>
    <w:p w14:paraId="307FFABF" w14:textId="77777777" w:rsidR="004378AE" w:rsidRPr="00DF6753" w:rsidRDefault="004378AE" w:rsidP="00BB166A">
      <w:pPr>
        <w:pStyle w:val="Paragraphedeliste"/>
        <w:numPr>
          <w:ilvl w:val="0"/>
          <w:numId w:val="13"/>
        </w:numPr>
        <w:spacing w:after="120"/>
        <w:ind w:hanging="294"/>
        <w:contextualSpacing w:val="0"/>
        <w:rPr>
          <w:szCs w:val="18"/>
          <w:lang w:val="fr-BE"/>
        </w:rPr>
      </w:pPr>
      <w:r w:rsidRPr="00DF6753">
        <w:rPr>
          <w:szCs w:val="18"/>
          <w:lang w:val="fr-BE"/>
        </w:rPr>
        <w:t>Les caractéristiques techniques et la qualité des moyens mis en œuvre pour favoriser/assurer une bonne prestation de services (notamment accessibilité des véhicules, traçabilité des véhicules, système d’indication de route, système de guidage routier, véhicules de réserve/personnel de réserve, moyens à disposition du dispatching et des chauffeurs…) ;</w:t>
      </w:r>
    </w:p>
    <w:p w14:paraId="38C332F3" w14:textId="77777777" w:rsidR="004378AE" w:rsidRPr="00DF6753" w:rsidRDefault="004378AE" w:rsidP="00BB166A">
      <w:pPr>
        <w:pStyle w:val="Paragraphedeliste"/>
        <w:numPr>
          <w:ilvl w:val="0"/>
          <w:numId w:val="13"/>
        </w:numPr>
        <w:spacing w:after="120"/>
        <w:ind w:hanging="294"/>
        <w:contextualSpacing w:val="0"/>
        <w:rPr>
          <w:szCs w:val="18"/>
          <w:lang w:val="fr-BE"/>
        </w:rPr>
      </w:pPr>
      <w:r w:rsidRPr="00DF6753">
        <w:rPr>
          <w:szCs w:val="18"/>
          <w:lang w:val="fr-BE"/>
        </w:rPr>
        <w:t>Les caractéristiques et la qualité du système interne de gestion, traitement et suivi des plaintes et la prise de mesures en cas de circonstances imprévues (personne(s) de contact, méthodologie, rapportage et communication...) ;</w:t>
      </w:r>
    </w:p>
    <w:p w14:paraId="33866BA5" w14:textId="77777777" w:rsidR="004378AE" w:rsidRPr="00DF6753" w:rsidRDefault="004378AE" w:rsidP="00BB166A">
      <w:pPr>
        <w:pStyle w:val="Paragraphedeliste"/>
        <w:numPr>
          <w:ilvl w:val="0"/>
          <w:numId w:val="13"/>
        </w:numPr>
        <w:spacing w:after="120"/>
        <w:ind w:hanging="294"/>
        <w:contextualSpacing w:val="0"/>
        <w:rPr>
          <w:szCs w:val="18"/>
          <w:lang w:val="fr-BE"/>
        </w:rPr>
      </w:pPr>
      <w:r w:rsidRPr="00DF6753">
        <w:rPr>
          <w:szCs w:val="18"/>
          <w:lang w:val="fr-BE"/>
        </w:rPr>
        <w:lastRenderedPageBreak/>
        <w:t>Les propriétés et caractéristiques des conteneurs de dépôt et du système de bâchage ;</w:t>
      </w:r>
    </w:p>
    <w:p w14:paraId="46DC6AD7" w14:textId="77777777" w:rsidR="004378AE" w:rsidRPr="00DF6753" w:rsidRDefault="004378AE" w:rsidP="00BB166A">
      <w:pPr>
        <w:pStyle w:val="Paragraphedeliste"/>
        <w:numPr>
          <w:ilvl w:val="0"/>
          <w:numId w:val="13"/>
        </w:numPr>
        <w:spacing w:after="120"/>
        <w:ind w:hanging="294"/>
        <w:contextualSpacing w:val="0"/>
        <w:rPr>
          <w:szCs w:val="18"/>
          <w:lang w:val="fr-BE"/>
        </w:rPr>
      </w:pPr>
      <w:r w:rsidRPr="00DF6753">
        <w:rPr>
          <w:szCs w:val="18"/>
          <w:lang w:val="fr-BE"/>
        </w:rPr>
        <w:t>Le système de gestion de la sécurité ;</w:t>
      </w:r>
    </w:p>
    <w:p w14:paraId="67405514" w14:textId="77777777" w:rsidR="004378AE" w:rsidRPr="00DF6753" w:rsidRDefault="004378AE" w:rsidP="00BB166A">
      <w:pPr>
        <w:pStyle w:val="Paragraphedeliste"/>
        <w:numPr>
          <w:ilvl w:val="0"/>
          <w:numId w:val="13"/>
        </w:numPr>
        <w:spacing w:after="120"/>
        <w:ind w:hanging="294"/>
        <w:contextualSpacing w:val="0"/>
        <w:rPr>
          <w:szCs w:val="18"/>
          <w:lang w:val="fr-BE"/>
        </w:rPr>
      </w:pPr>
      <w:r w:rsidRPr="00DF6753">
        <w:rPr>
          <w:szCs w:val="18"/>
          <w:lang w:val="fr-BE"/>
        </w:rPr>
        <w:t>Le système de gestion de l’environnement ;</w:t>
      </w:r>
    </w:p>
    <w:p w14:paraId="38CD7A66" w14:textId="26F14723" w:rsidR="004378AE" w:rsidRPr="00DF6753" w:rsidRDefault="004378AE" w:rsidP="00BB166A">
      <w:pPr>
        <w:pStyle w:val="Paragraphedeliste"/>
        <w:numPr>
          <w:ilvl w:val="0"/>
          <w:numId w:val="13"/>
        </w:numPr>
        <w:spacing w:after="120"/>
        <w:ind w:hanging="294"/>
        <w:contextualSpacing w:val="0"/>
        <w:rPr>
          <w:szCs w:val="18"/>
          <w:lang w:val="fr-BE"/>
        </w:rPr>
      </w:pPr>
      <w:r w:rsidRPr="00DF6753">
        <w:rPr>
          <w:szCs w:val="18"/>
          <w:lang w:val="fr-BE"/>
        </w:rPr>
        <w:t xml:space="preserve">La qualification, la formation et le recyclage du personnel </w:t>
      </w:r>
      <w:r w:rsidR="002B305E" w:rsidRPr="00DF6753">
        <w:rPr>
          <w:szCs w:val="18"/>
          <w:lang w:val="fr-BE"/>
        </w:rPr>
        <w:t>d’exploitation, …</w:t>
      </w:r>
    </w:p>
    <w:p w14:paraId="29ABD197" w14:textId="0E6B7185" w:rsidR="00E17799" w:rsidRPr="00DF6753" w:rsidRDefault="00E17799" w:rsidP="00BB166A">
      <w:pPr>
        <w:pStyle w:val="Paragraphedeliste"/>
        <w:numPr>
          <w:ilvl w:val="0"/>
          <w:numId w:val="13"/>
        </w:numPr>
        <w:spacing w:after="120"/>
        <w:ind w:hanging="294"/>
        <w:contextualSpacing w:val="0"/>
        <w:rPr>
          <w:szCs w:val="18"/>
          <w:lang w:val="fr-BE"/>
        </w:rPr>
      </w:pPr>
      <w:r w:rsidRPr="00DF6753">
        <w:rPr>
          <w:szCs w:val="18"/>
          <w:lang w:val="fr-BE"/>
        </w:rPr>
        <w:t>Les instructions de collecte du flux PMC et de refus des non-conformités données au collecteurs ;</w:t>
      </w:r>
    </w:p>
    <w:p w14:paraId="4AEEBB4E" w14:textId="4A12231B" w:rsidR="00E17799" w:rsidRPr="00DF6753" w:rsidRDefault="00E17799" w:rsidP="00BB166A">
      <w:pPr>
        <w:pStyle w:val="Paragraphedeliste"/>
        <w:numPr>
          <w:ilvl w:val="0"/>
          <w:numId w:val="13"/>
        </w:numPr>
        <w:spacing w:after="120"/>
        <w:ind w:hanging="294"/>
        <w:contextualSpacing w:val="0"/>
        <w:rPr>
          <w:szCs w:val="18"/>
          <w:lang w:val="fr-BE"/>
        </w:rPr>
      </w:pPr>
      <w:r w:rsidRPr="00DF6753">
        <w:rPr>
          <w:szCs w:val="18"/>
          <w:lang w:val="fr-BE"/>
        </w:rPr>
        <w:t>Afin de garantir la fiabilité des pesées, les instructions (nombre de personnes en cabine) données aux équipes embarquées au moment des pesées (brute et tare)</w:t>
      </w:r>
      <w:r w:rsidR="00C07B3C" w:rsidRPr="00DF6753">
        <w:rPr>
          <w:szCs w:val="18"/>
          <w:lang w:val="fr-BE"/>
        </w:rPr>
        <w:t>.</w:t>
      </w:r>
    </w:p>
    <w:p w14:paraId="397C7E56" w14:textId="68BF9DCF" w:rsidR="007D0C32" w:rsidRPr="00C57832" w:rsidRDefault="007D0C32" w:rsidP="00A02257">
      <w:pPr>
        <w:rPr>
          <w:rFonts w:eastAsia="Times New Roman"/>
          <w:lang w:val="fr-BE" w:eastAsia="nl-NL"/>
        </w:rPr>
      </w:pPr>
    </w:p>
    <w:p w14:paraId="397C7E58" w14:textId="61F75689" w:rsidR="006B4934" w:rsidRPr="00C57832" w:rsidRDefault="006B4934">
      <w:pPr>
        <w:rPr>
          <w:lang w:val="fr-BE"/>
        </w:rPr>
      </w:pPr>
      <w:r w:rsidRPr="00C57832">
        <w:rPr>
          <w:lang w:val="fr-BE"/>
        </w:rPr>
        <w:t>Le pouvoir adjudicateur analysera, évaluera</w:t>
      </w:r>
      <w:r w:rsidR="00671222" w:rsidRPr="00C57832">
        <w:rPr>
          <w:lang w:val="fr-BE"/>
        </w:rPr>
        <w:t>,</w:t>
      </w:r>
      <w:r w:rsidRPr="00C57832">
        <w:rPr>
          <w:lang w:val="fr-BE"/>
        </w:rPr>
        <w:t xml:space="preserve"> et comparera, poste par poste, toutes les informations communiquées par les soumissionnaires en vue d’établir l’ordre de classement des offres. </w:t>
      </w:r>
    </w:p>
    <w:p w14:paraId="397C7E59" w14:textId="77777777" w:rsidR="00E03C1A" w:rsidRPr="00C57832" w:rsidRDefault="00E03C1A" w:rsidP="00E03C1A">
      <w:pPr>
        <w:rPr>
          <w:lang w:val="fr-BE"/>
        </w:rPr>
      </w:pPr>
      <w:r w:rsidRPr="00C57832">
        <w:rPr>
          <w:lang w:val="fr-BE"/>
        </w:rPr>
        <w:t xml:space="preserve">Une copie du procès-verbal d’adjudication sera également transmise à </w:t>
      </w:r>
      <w:proofErr w:type="spellStart"/>
      <w:r w:rsidRPr="00C57832">
        <w:rPr>
          <w:lang w:val="fr-BE"/>
        </w:rPr>
        <w:t>Fost</w:t>
      </w:r>
      <w:proofErr w:type="spellEnd"/>
      <w:r w:rsidRPr="00C57832">
        <w:rPr>
          <w:lang w:val="fr-BE"/>
        </w:rPr>
        <w:t xml:space="preserve"> Plus qui transmettra à son tour une copie à la Commission Interrégionale de l’Emballage.</w:t>
      </w:r>
    </w:p>
    <w:p w14:paraId="397C7E5A" w14:textId="3558EB34" w:rsidR="006B4934" w:rsidRPr="00C127EC" w:rsidRDefault="006B4934" w:rsidP="00BB166A">
      <w:pPr>
        <w:pStyle w:val="Titre3"/>
        <w:numPr>
          <w:ilvl w:val="0"/>
          <w:numId w:val="24"/>
        </w:numPr>
        <w:spacing w:after="100" w:afterAutospacing="1"/>
        <w:rPr>
          <w:b/>
          <w:iCs/>
          <w:sz w:val="24"/>
          <w:szCs w:val="28"/>
          <w:lang w:val="fr-BE" w:eastAsia="nl-NL"/>
        </w:rPr>
      </w:pPr>
      <w:bookmarkStart w:id="88" w:name="_Toc200945513"/>
      <w:bookmarkStart w:id="89" w:name="_Toc201025144"/>
      <w:bookmarkStart w:id="90" w:name="_Toc201587451"/>
      <w:bookmarkStart w:id="91" w:name="_Toc513197754"/>
      <w:r w:rsidRPr="00C127EC">
        <w:rPr>
          <w:b/>
          <w:iCs/>
          <w:sz w:val="24"/>
          <w:szCs w:val="28"/>
          <w:lang w:val="fr-BE" w:eastAsia="nl-NL"/>
        </w:rPr>
        <w:t>Cautionnement</w:t>
      </w:r>
      <w:bookmarkEnd w:id="88"/>
      <w:bookmarkEnd w:id="89"/>
      <w:bookmarkEnd w:id="90"/>
      <w:bookmarkEnd w:id="91"/>
      <w:r w:rsidR="007A2736" w:rsidRPr="00C127EC">
        <w:rPr>
          <w:b/>
          <w:iCs/>
          <w:sz w:val="24"/>
          <w:szCs w:val="28"/>
          <w:lang w:val="fr-BE" w:eastAsia="nl-NL"/>
        </w:rPr>
        <w:t xml:space="preserve"> (articles 25 à 33 et article 158 de l’AR Passation)</w:t>
      </w:r>
    </w:p>
    <w:p w14:paraId="397C7E5B" w14:textId="3121B642" w:rsidR="006B4934" w:rsidRPr="00C57832" w:rsidRDefault="006B4934" w:rsidP="00FD4339">
      <w:pPr>
        <w:rPr>
          <w:lang w:val="fr-BE"/>
        </w:rPr>
      </w:pPr>
      <w:r w:rsidRPr="00C57832">
        <w:rPr>
          <w:lang w:val="fr-BE"/>
        </w:rPr>
        <w:t xml:space="preserve">Pour le bon respect de ce </w:t>
      </w:r>
      <w:r w:rsidR="00B52F18" w:rsidRPr="00C57832">
        <w:rPr>
          <w:lang w:val="fr-BE"/>
        </w:rPr>
        <w:t>M</w:t>
      </w:r>
      <w:r w:rsidRPr="00C57832">
        <w:rPr>
          <w:lang w:val="fr-BE"/>
        </w:rPr>
        <w:t xml:space="preserve">arché, le prestataire de services est obligé de constituer un cautionnement en faveur du pouvoir adjudicateur. Ce cautionnement s'élève à 5% du montant total, hors TVA, du </w:t>
      </w:r>
      <w:r w:rsidR="005E5746" w:rsidRPr="00C57832">
        <w:rPr>
          <w:lang w:val="fr-BE"/>
        </w:rPr>
        <w:t>Marché</w:t>
      </w:r>
      <w:r w:rsidRPr="00C57832">
        <w:rPr>
          <w:lang w:val="fr-BE"/>
        </w:rPr>
        <w:t xml:space="preserve"> prévu pour l'exécution du </w:t>
      </w:r>
      <w:r w:rsidR="005E5746" w:rsidRPr="00C57832">
        <w:rPr>
          <w:lang w:val="fr-BE"/>
        </w:rPr>
        <w:t>Marché</w:t>
      </w:r>
      <w:r w:rsidRPr="00C57832">
        <w:rPr>
          <w:lang w:val="fr-BE"/>
        </w:rPr>
        <w:t xml:space="preserve"> pendant 1 an. Le montant ainsi obtenu est arrondi à la dizaine d'euros supérieure.</w:t>
      </w:r>
    </w:p>
    <w:p w14:paraId="18D5DCAA" w14:textId="77777777" w:rsidR="007A2736" w:rsidRPr="00C57832" w:rsidRDefault="007A2736" w:rsidP="007A2736">
      <w:pPr>
        <w:rPr>
          <w:lang w:val="fr-BE"/>
        </w:rPr>
      </w:pPr>
      <w:r w:rsidRPr="00C57832">
        <w:rPr>
          <w:lang w:val="fr-BE"/>
        </w:rPr>
        <w:t>Le cautionnement peut être constitué conformément aux dispositions légales et réglementaires, soit en numéraire, ou en fonds publics, soit sous forme de cautionnement collectif.</w:t>
      </w:r>
    </w:p>
    <w:p w14:paraId="5F7F35C8" w14:textId="77777777" w:rsidR="007A2736" w:rsidRPr="00584DF8" w:rsidRDefault="007A2736" w:rsidP="007A2736">
      <w:pPr>
        <w:rPr>
          <w:lang w:val="fr-BE"/>
        </w:rPr>
      </w:pPr>
      <w:r w:rsidRPr="00C57832">
        <w:rPr>
          <w:lang w:val="fr-BE"/>
        </w:rPr>
        <w:t xml:space="preserve">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w:t>
      </w:r>
      <w:r w:rsidRPr="00584DF8">
        <w:rPr>
          <w:lang w:val="fr-BE"/>
        </w:rPr>
        <w:t>agréée pour la branche 15 (caution).</w:t>
      </w:r>
    </w:p>
    <w:p w14:paraId="30B21110" w14:textId="6ED45D53" w:rsidR="007A2736" w:rsidRPr="00C57832" w:rsidRDefault="007A2736" w:rsidP="007A2736">
      <w:pPr>
        <w:rPr>
          <w:lang w:val="fr-BE"/>
        </w:rPr>
      </w:pPr>
      <w:r w:rsidRPr="00584DF8">
        <w:rPr>
          <w:lang w:val="fr-BE"/>
        </w:rPr>
        <w:t xml:space="preserve">L’adjudicataire doit, dans les trente jours de calendrier suivant </w:t>
      </w:r>
      <w:r w:rsidR="00674CEB" w:rsidRPr="00584DF8">
        <w:rPr>
          <w:lang w:val="fr-BE"/>
        </w:rPr>
        <w:t>le jour de l’attribution</w:t>
      </w:r>
      <w:r w:rsidR="00CC3D72" w:rsidRPr="00584DF8">
        <w:rPr>
          <w:lang w:val="fr-BE"/>
        </w:rPr>
        <w:t xml:space="preserve"> </w:t>
      </w:r>
      <w:r w:rsidRPr="00584DF8">
        <w:rPr>
          <w:lang w:val="fr-BE"/>
        </w:rPr>
        <w:t>du marché, justifier la constitution du cautionnement par lui-même ou par un tiers, de l’une des façons suivantes :</w:t>
      </w:r>
    </w:p>
    <w:p w14:paraId="2D2598FA" w14:textId="77777777" w:rsidR="00B52F18" w:rsidRPr="00C57832" w:rsidRDefault="00B52F18" w:rsidP="00B52F18">
      <w:pPr>
        <w:ind w:left="720"/>
        <w:rPr>
          <w:szCs w:val="18"/>
          <w:lang w:val="fr-BE"/>
        </w:rPr>
      </w:pPr>
      <w:r w:rsidRPr="00C57832">
        <w:rPr>
          <w:rFonts w:eastAsia="Times New Roman"/>
          <w:bCs/>
          <w:snapToGrid w:val="0"/>
          <w:szCs w:val="18"/>
          <w:lang w:val="fr-BE" w:eastAsia="en-US"/>
        </w:rPr>
        <w:t>1° lorsqu'il s'agit d’un cautionnement en numéraire, par le virement du montant au numéro de compte de la Caisse des Dépôts et Consignations ou d'un organisme public remplissant une fonction similaire à celle de ladite Caisse, ci-après dénommé organisme public remplissant une fonction similaire;</w:t>
      </w:r>
      <w:r w:rsidRPr="00C57832">
        <w:rPr>
          <w:rFonts w:eastAsia="Times New Roman"/>
          <w:bCs/>
          <w:snapToGrid w:val="0"/>
          <w:szCs w:val="18"/>
          <w:lang w:val="fr-BE" w:eastAsia="en-US"/>
        </w:rPr>
        <w:br/>
        <w:t>2° lorsqu'il s'agit d’un cautionnement en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r w:rsidRPr="00C57832">
        <w:rPr>
          <w:rFonts w:eastAsia="Times New Roman"/>
          <w:bCs/>
          <w:snapToGrid w:val="0"/>
          <w:szCs w:val="18"/>
          <w:lang w:val="fr-BE" w:eastAsia="en-US"/>
        </w:rPr>
        <w:br/>
        <w:t>3° lorsqu'il s'agit d'un cautionnement collectif, par le dépôt par un organisme exerçant légalement cette activité, d'un acte de caution solidaire auprès de la Caisse des Dépôts et Consignations ou d'un organisme public remplissant une fonction similaire;</w:t>
      </w:r>
      <w:r w:rsidRPr="00C57832">
        <w:rPr>
          <w:rFonts w:eastAsia="Times New Roman"/>
          <w:bCs/>
          <w:snapToGrid w:val="0"/>
          <w:szCs w:val="18"/>
          <w:lang w:val="fr-BE" w:eastAsia="en-US"/>
        </w:rPr>
        <w:br/>
        <w:t>4° lorsqu'il s'agit d'un cautionnement par le moyen d’une garantie, par l'acte d'engagement de l'établissement de crédit ou de l'entreprise d'assurances.</w:t>
      </w:r>
    </w:p>
    <w:p w14:paraId="166A6A51" w14:textId="50B158E4" w:rsidR="00B52F18" w:rsidRPr="00C57832" w:rsidRDefault="00B52F18" w:rsidP="00E54871">
      <w:pPr>
        <w:spacing w:after="0"/>
        <w:rPr>
          <w:rFonts w:eastAsia="Times New Roman"/>
          <w:snapToGrid w:val="0"/>
          <w:szCs w:val="18"/>
          <w:lang w:val="fr-BE" w:eastAsia="en-US"/>
        </w:rPr>
      </w:pPr>
      <w:r w:rsidRPr="00C57832">
        <w:rPr>
          <w:rFonts w:eastAsia="Times New Roman"/>
          <w:lang w:val="fr-BE" w:eastAsia="nl-NL"/>
        </w:rPr>
        <w:t xml:space="preserve">Le prestataire de service doit constituer le cautionnement </w:t>
      </w:r>
      <w:r w:rsidR="00037776" w:rsidRPr="00C57832">
        <w:rPr>
          <w:rFonts w:eastAsia="Times New Roman"/>
          <w:snapToGrid w:val="0"/>
          <w:szCs w:val="18"/>
          <w:lang w:val="fr-BE" w:eastAsia="en-US"/>
        </w:rPr>
        <w:t>dans</w:t>
      </w:r>
      <w:r w:rsidRPr="00C57832">
        <w:rPr>
          <w:rFonts w:eastAsia="Times New Roman"/>
          <w:snapToGrid w:val="0"/>
          <w:szCs w:val="18"/>
          <w:lang w:val="fr-BE" w:eastAsia="en-US"/>
        </w:rPr>
        <w:t xml:space="preserve"> un délai de 30 jours calendrier suivant le </w:t>
      </w:r>
      <w:r w:rsidRPr="00584DF8">
        <w:rPr>
          <w:rFonts w:eastAsia="Times New Roman"/>
          <w:snapToGrid w:val="0"/>
          <w:szCs w:val="18"/>
          <w:lang w:val="fr-BE" w:eastAsia="en-US"/>
        </w:rPr>
        <w:t xml:space="preserve">jour </w:t>
      </w:r>
      <w:r w:rsidR="00674CEB" w:rsidRPr="00584DF8">
        <w:rPr>
          <w:lang w:val="fr-BE"/>
        </w:rPr>
        <w:t xml:space="preserve">de clôture </w:t>
      </w:r>
      <w:r w:rsidRPr="00584DF8">
        <w:rPr>
          <w:rFonts w:eastAsia="Times New Roman"/>
          <w:snapToGrid w:val="0"/>
          <w:szCs w:val="18"/>
          <w:lang w:val="fr-BE" w:eastAsia="en-US"/>
        </w:rPr>
        <w:t xml:space="preserve">du Marché (art. 27 </w:t>
      </w:r>
      <w:r w:rsidR="008850D9" w:rsidRPr="00584DF8">
        <w:rPr>
          <w:lang w:val="fr-BE"/>
        </w:rPr>
        <w:t>AR Exécution</w:t>
      </w:r>
      <w:r w:rsidRPr="00584DF8">
        <w:rPr>
          <w:rFonts w:eastAsia="Times New Roman"/>
          <w:snapToGrid w:val="0"/>
          <w:szCs w:val="18"/>
          <w:lang w:val="fr-BE" w:eastAsia="en-US"/>
        </w:rPr>
        <w:t>), mais dans tous les cas avant le début de l’exécution du Marché.</w:t>
      </w:r>
      <w:r w:rsidRPr="00584DF8">
        <w:rPr>
          <w:rFonts w:eastAsia="Times New Roman"/>
          <w:lang w:val="fr-BE" w:eastAsia="nl-NL"/>
        </w:rPr>
        <w:t xml:space="preserve"> </w:t>
      </w:r>
      <w:r w:rsidRPr="00584DF8">
        <w:rPr>
          <w:rFonts w:eastAsia="Times New Roman"/>
          <w:snapToGrid w:val="0"/>
          <w:szCs w:val="18"/>
          <w:lang w:val="fr-BE" w:eastAsia="en-US"/>
        </w:rPr>
        <w:t>La justification</w:t>
      </w:r>
      <w:r w:rsidRPr="00C57832">
        <w:rPr>
          <w:rFonts w:eastAsia="Times New Roman"/>
          <w:snapToGrid w:val="0"/>
          <w:szCs w:val="18"/>
          <w:lang w:val="fr-BE" w:eastAsia="en-US"/>
        </w:rPr>
        <w:t xml:space="preserve"> de la constitution du cautionnement est procurée au </w:t>
      </w:r>
      <w:r w:rsidRPr="00C57832">
        <w:rPr>
          <w:rFonts w:eastAsia="Times New Roman"/>
          <w:snapToGrid w:val="0"/>
          <w:szCs w:val="18"/>
          <w:lang w:val="fr-BE" w:eastAsia="en-US"/>
        </w:rPr>
        <w:lastRenderedPageBreak/>
        <w:t>pouvoir adjudicateur dans le même délai. La justification se donne selon le cas par la production au pouvoir adjudicateur :</w:t>
      </w:r>
    </w:p>
    <w:p w14:paraId="0B7D6172" w14:textId="77777777" w:rsidR="00B52F18" w:rsidRPr="00C57832" w:rsidRDefault="00B52F18" w:rsidP="00E54871">
      <w:pPr>
        <w:ind w:left="720"/>
        <w:rPr>
          <w:rFonts w:eastAsia="Times New Roman"/>
          <w:snapToGrid w:val="0"/>
          <w:szCs w:val="18"/>
          <w:lang w:val="fr-BE" w:eastAsia="en-US"/>
        </w:rPr>
      </w:pPr>
      <w:r w:rsidRPr="00C57832">
        <w:rPr>
          <w:rFonts w:eastAsia="Times New Roman"/>
          <w:snapToGrid w:val="0"/>
          <w:szCs w:val="18"/>
          <w:lang w:val="fr-BE" w:eastAsia="en-US"/>
        </w:rPr>
        <w:t>1° soit du récépissé de dépôt de la Caisse des Dépôts et Consignations ou d'un organisme public remplissant une fonction similaire;</w:t>
      </w:r>
      <w:r w:rsidRPr="00C57832">
        <w:rPr>
          <w:rFonts w:eastAsia="Times New Roman"/>
          <w:snapToGrid w:val="0"/>
          <w:szCs w:val="18"/>
          <w:lang w:val="fr-BE" w:eastAsia="en-US"/>
        </w:rPr>
        <w:br/>
        <w:t>2° soit d'un avis de débit remis par l'établissement de crédit ou l'entreprise d'assurances;</w:t>
      </w:r>
      <w:r w:rsidRPr="00C57832">
        <w:rPr>
          <w:rFonts w:eastAsia="Times New Roman"/>
          <w:snapToGrid w:val="0"/>
          <w:szCs w:val="18"/>
          <w:lang w:val="fr-BE" w:eastAsia="en-US"/>
        </w:rPr>
        <w:br/>
        <w:t>3° soit de la reconnaissance de dépôt délivrée par le caissier de l'Etat ou par un organisme public remplissant une fonction similaire;</w:t>
      </w:r>
      <w:r w:rsidRPr="00C57832">
        <w:rPr>
          <w:rFonts w:eastAsia="Times New Roman"/>
          <w:snapToGrid w:val="0"/>
          <w:szCs w:val="18"/>
          <w:lang w:val="fr-BE" w:eastAsia="en-US"/>
        </w:rPr>
        <w:br/>
        <w:t>4° soit de l'original de l'acte de caution solidaire visé par la Caisse des Dépôts et Consignations ou par un organisme public remplissant une fonction similaire;</w:t>
      </w:r>
      <w:r w:rsidRPr="00C57832">
        <w:rPr>
          <w:rFonts w:eastAsia="Times New Roman"/>
          <w:snapToGrid w:val="0"/>
          <w:szCs w:val="18"/>
          <w:lang w:val="fr-BE" w:eastAsia="en-US"/>
        </w:rPr>
        <w:br/>
        <w:t>5° soit de l'original de l'acte d'engagement établi par l'établissement de crédit ou l'entreprise d'assurances accordant une garantie.</w:t>
      </w:r>
    </w:p>
    <w:p w14:paraId="641018D8" w14:textId="4973BCD3" w:rsidR="00B52F18" w:rsidRPr="00C57832" w:rsidRDefault="00B52F18" w:rsidP="00B52F18">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eastAsia="Times New Roman"/>
          <w:snapToGrid w:val="0"/>
          <w:szCs w:val="18"/>
          <w:lang w:val="fr-BE" w:eastAsia="en-US"/>
        </w:rPr>
      </w:pPr>
      <w:r w:rsidRPr="00C57832">
        <w:rPr>
          <w:rFonts w:eastAsia="Times New Roman"/>
          <w:snapToGrid w:val="0"/>
          <w:szCs w:val="18"/>
          <w:lang w:val="fr-BE" w:eastAsia="en-US"/>
        </w:rPr>
        <w:t xml:space="preserve">Lorsque le prestataire de service ne constitue pas le cautionnement dans le délai de 30 jours calendrier mentionné ci-dessus, il est mis en demeure par lettre recommandée par le pouvoir adjudicateur. Cette mise en demeure vaut procès-verbal au sens de l'article 44, § 2 </w:t>
      </w:r>
      <w:r w:rsidR="008850D9" w:rsidRPr="00C57832">
        <w:rPr>
          <w:lang w:val="fr-BE"/>
        </w:rPr>
        <w:t>AR Exécution</w:t>
      </w:r>
      <w:r w:rsidRPr="00C57832">
        <w:rPr>
          <w:rFonts w:eastAsia="Times New Roman"/>
          <w:snapToGrid w:val="0"/>
          <w:szCs w:val="18"/>
          <w:lang w:val="fr-BE" w:eastAsia="en-US"/>
        </w:rPr>
        <w:t>.</w:t>
      </w:r>
    </w:p>
    <w:p w14:paraId="58960CC8" w14:textId="327D63C6" w:rsidR="00B52F18" w:rsidRPr="00C57832" w:rsidRDefault="00B52F18" w:rsidP="00B52F18">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eastAsia="Times New Roman"/>
          <w:snapToGrid w:val="0"/>
          <w:szCs w:val="18"/>
          <w:lang w:val="fr-BE" w:eastAsia="en-US"/>
        </w:rPr>
      </w:pPr>
      <w:r w:rsidRPr="00C57832">
        <w:rPr>
          <w:rFonts w:eastAsia="Times New Roman"/>
          <w:snapToGrid w:val="0"/>
          <w:szCs w:val="18"/>
          <w:lang w:val="fr-BE" w:eastAsia="en-US"/>
        </w:rPr>
        <w:t xml:space="preserve">Lorsqu’il ne constitue pas le cautionnement dans un dernier délai de 15 jours calendrier prenant cours à la date d'envoi de la lettre recommandée de la part du pouvoir adjudicateur, ce dernier peut conformément à l’article 29 </w:t>
      </w:r>
      <w:r w:rsidR="008850D9" w:rsidRPr="00C57832">
        <w:rPr>
          <w:lang w:val="fr-BE"/>
        </w:rPr>
        <w:t xml:space="preserve">AR </w:t>
      </w:r>
      <w:r w:rsidR="002D5627" w:rsidRPr="00C57832">
        <w:rPr>
          <w:lang w:val="fr-BE"/>
        </w:rPr>
        <w:t>Exécution</w:t>
      </w:r>
      <w:r w:rsidR="002D5627" w:rsidRPr="00C57832">
        <w:rPr>
          <w:rFonts w:eastAsia="Times New Roman"/>
          <w:snapToGrid w:val="0"/>
          <w:szCs w:val="18"/>
          <w:lang w:val="fr-BE" w:eastAsia="en-US"/>
        </w:rPr>
        <w:t xml:space="preserve"> :</w:t>
      </w:r>
    </w:p>
    <w:p w14:paraId="0F75273B" w14:textId="738BA0EB" w:rsidR="00B52F18" w:rsidRPr="00C57832" w:rsidRDefault="00B52F18" w:rsidP="00E54871">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after="0"/>
        <w:ind w:left="282"/>
        <w:jc w:val="both"/>
        <w:rPr>
          <w:rFonts w:eastAsia="Times New Roman"/>
          <w:snapToGrid w:val="0"/>
          <w:szCs w:val="18"/>
          <w:lang w:val="fr-BE" w:eastAsia="en-US"/>
        </w:rPr>
      </w:pPr>
      <w:r w:rsidRPr="00C57832">
        <w:rPr>
          <w:rFonts w:eastAsia="Times New Roman"/>
          <w:snapToGrid w:val="0"/>
          <w:szCs w:val="18"/>
          <w:lang w:val="fr-BE" w:eastAsia="en-US"/>
        </w:rPr>
        <w:t xml:space="preserve">1° soit constituer le cautionnement d'office par prélèvement sur les sommes dues pour le Marché. Dans ce cas, est appliquée une pénalité fixée à 2 % du montant initial du </w:t>
      </w:r>
      <w:r w:rsidR="006630B3" w:rsidRPr="00C57832">
        <w:rPr>
          <w:rFonts w:eastAsia="Times New Roman"/>
          <w:snapToGrid w:val="0"/>
          <w:szCs w:val="18"/>
          <w:lang w:val="fr-BE" w:eastAsia="en-US"/>
        </w:rPr>
        <w:t>Marché ;</w:t>
      </w:r>
    </w:p>
    <w:p w14:paraId="1C6EBC5B" w14:textId="690F44BD" w:rsidR="00B52F18" w:rsidRPr="00C57832" w:rsidRDefault="00B52F18" w:rsidP="000D4853">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jc w:val="both"/>
        <w:rPr>
          <w:rFonts w:eastAsia="Times New Roman"/>
          <w:snapToGrid w:val="0"/>
          <w:szCs w:val="18"/>
          <w:lang w:val="fr-BE" w:eastAsia="en-US"/>
        </w:rPr>
      </w:pPr>
      <w:r w:rsidRPr="00C57832">
        <w:rPr>
          <w:rFonts w:eastAsia="Times New Roman"/>
          <w:snapToGrid w:val="0"/>
          <w:szCs w:val="18"/>
          <w:lang w:val="fr-BE" w:eastAsia="en-US"/>
        </w:rPr>
        <w:t xml:space="preserve">2° soit appliquer une mesure d'office. </w:t>
      </w:r>
    </w:p>
    <w:p w14:paraId="5F3CB231" w14:textId="4BC38211" w:rsidR="00B52F18" w:rsidRPr="00C57832" w:rsidRDefault="00B52F18" w:rsidP="00B52F18">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eastAsia="Times New Roman"/>
          <w:snapToGrid w:val="0"/>
          <w:szCs w:val="18"/>
          <w:lang w:val="fr-BE" w:eastAsia="en-US"/>
        </w:rPr>
      </w:pPr>
      <w:r w:rsidRPr="00C57832">
        <w:rPr>
          <w:rFonts w:eastAsia="Times New Roman"/>
          <w:snapToGrid w:val="0"/>
          <w:szCs w:val="18"/>
          <w:lang w:val="fr-BE" w:eastAsia="en-US"/>
        </w:rPr>
        <w:t xml:space="preserve">Lorsque le cautionnement a cessé d'être intégralement constitué et que </w:t>
      </w:r>
      <w:r w:rsidR="008F1E5D" w:rsidRPr="00C57832">
        <w:rPr>
          <w:rFonts w:eastAsia="Times New Roman"/>
          <w:snapToGrid w:val="0"/>
          <w:szCs w:val="18"/>
          <w:lang w:val="fr-BE" w:eastAsia="en-US"/>
        </w:rPr>
        <w:t xml:space="preserve">le prestataire de service </w:t>
      </w:r>
      <w:r w:rsidRPr="00C57832">
        <w:rPr>
          <w:rFonts w:eastAsia="Times New Roman"/>
          <w:snapToGrid w:val="0"/>
          <w:szCs w:val="18"/>
          <w:lang w:val="fr-BE" w:eastAsia="en-US"/>
        </w:rPr>
        <w:t>demeure en défaut de combler le déficit, le pouvoir adjudicateur peut opérer une retenue égale au montant de celui-ci sur les paiements à faire et l'affecter à la reconstitution du cautionnement.</w:t>
      </w:r>
    </w:p>
    <w:p w14:paraId="368CF86A" w14:textId="77777777" w:rsidR="00B52F18" w:rsidRPr="00C57832" w:rsidRDefault="00B52F18" w:rsidP="00B52F18">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eastAsia="Times New Roman"/>
          <w:snapToGrid w:val="0"/>
          <w:szCs w:val="18"/>
          <w:lang w:val="fr-BE" w:eastAsia="en-US"/>
        </w:rPr>
      </w:pPr>
      <w:r w:rsidRPr="00C57832">
        <w:rPr>
          <w:rFonts w:eastAsia="Times New Roman"/>
          <w:snapToGrid w:val="0"/>
          <w:szCs w:val="18"/>
          <w:lang w:val="fr-BE" w:eastAsia="en-US"/>
        </w:rPr>
        <w:t>Lorsque le cautionnement a cessé d'être intégralement constitué et que le prestataire de service demeure en défaut de combler le déficit, le pouvoir adjudicateur peut opérer une retenue égale au montant de celui-ci sur les paiements à faire et l'affecter à la reconstitution du cautionnement.</w:t>
      </w:r>
    </w:p>
    <w:p w14:paraId="397C7E60" w14:textId="6FB76062" w:rsidR="00890802" w:rsidRPr="00C57832" w:rsidRDefault="006B4934" w:rsidP="00B52F18">
      <w:pPr>
        <w:rPr>
          <w:lang w:val="fr-BE"/>
        </w:rPr>
      </w:pPr>
      <w:r w:rsidRPr="00C57832">
        <w:rPr>
          <w:lang w:val="fr-BE"/>
        </w:rPr>
        <w:t>Le cautionnement sera libéré en une fois</w:t>
      </w:r>
      <w:r w:rsidR="00671222" w:rsidRPr="00C57832">
        <w:rPr>
          <w:lang w:val="fr-BE"/>
        </w:rPr>
        <w:t>,</w:t>
      </w:r>
      <w:r w:rsidRPr="00C57832">
        <w:rPr>
          <w:lang w:val="fr-BE"/>
        </w:rPr>
        <w:t xml:space="preserve"> dans les trois mois qui suivent l'expiration du présent </w:t>
      </w:r>
      <w:r w:rsidR="00203ABD" w:rsidRPr="00C57832">
        <w:rPr>
          <w:lang w:val="fr-BE"/>
        </w:rPr>
        <w:t xml:space="preserve">Marché, </w:t>
      </w:r>
      <w:r w:rsidRPr="00C57832">
        <w:rPr>
          <w:lang w:val="fr-BE"/>
        </w:rPr>
        <w:t>à la demande expresse du prestataire de services</w:t>
      </w:r>
      <w:r w:rsidR="00671222" w:rsidRPr="00C57832">
        <w:rPr>
          <w:lang w:val="fr-BE"/>
        </w:rPr>
        <w:t>,</w:t>
      </w:r>
      <w:r w:rsidRPr="00C57832">
        <w:rPr>
          <w:lang w:val="fr-BE"/>
        </w:rPr>
        <w:t xml:space="preserve"> et à condition que l</w:t>
      </w:r>
      <w:r w:rsidR="00203ABD" w:rsidRPr="00C57832">
        <w:rPr>
          <w:lang w:val="fr-BE"/>
        </w:rPr>
        <w:t>’ensemble des</w:t>
      </w:r>
      <w:r w:rsidRPr="00C57832">
        <w:rPr>
          <w:lang w:val="fr-BE"/>
        </w:rPr>
        <w:t xml:space="preserve"> services fournis n'aie montré aucun manquement. En cas de </w:t>
      </w:r>
      <w:r w:rsidR="00203ABD" w:rsidRPr="00C57832">
        <w:rPr>
          <w:lang w:val="fr-BE"/>
        </w:rPr>
        <w:t xml:space="preserve">retard dans l’exécution, </w:t>
      </w:r>
      <w:r w:rsidRPr="00C57832">
        <w:rPr>
          <w:lang w:val="fr-BE"/>
        </w:rPr>
        <w:t>défaut d'exécution</w:t>
      </w:r>
      <w:r w:rsidR="00203ABD" w:rsidRPr="00C57832">
        <w:rPr>
          <w:lang w:val="fr-BE"/>
        </w:rPr>
        <w:t>,</w:t>
      </w:r>
      <w:r w:rsidRPr="00C57832">
        <w:rPr>
          <w:lang w:val="fr-BE"/>
        </w:rPr>
        <w:t xml:space="preserve"> non-exécution totale ou partielle du </w:t>
      </w:r>
      <w:r w:rsidR="00203ABD" w:rsidRPr="00C57832">
        <w:rPr>
          <w:lang w:val="fr-BE"/>
        </w:rPr>
        <w:t>M</w:t>
      </w:r>
      <w:r w:rsidRPr="00C57832">
        <w:rPr>
          <w:lang w:val="fr-BE"/>
        </w:rPr>
        <w:t>arché</w:t>
      </w:r>
      <w:r w:rsidR="00203ABD" w:rsidRPr="00C57832">
        <w:rPr>
          <w:lang w:val="fr-BE"/>
        </w:rPr>
        <w:t xml:space="preserve"> ou rupture de contrat à charge du prestataire de services,</w:t>
      </w:r>
      <w:r w:rsidRPr="00C57832">
        <w:rPr>
          <w:lang w:val="fr-BE"/>
        </w:rPr>
        <w:t xml:space="preserve"> le pouvoir adjudicateur </w:t>
      </w:r>
      <w:r w:rsidR="00203ABD" w:rsidRPr="00C57832">
        <w:rPr>
          <w:lang w:val="fr-BE"/>
        </w:rPr>
        <w:t xml:space="preserve">pourra </w:t>
      </w:r>
      <w:r w:rsidRPr="00C57832">
        <w:rPr>
          <w:lang w:val="fr-BE"/>
        </w:rPr>
        <w:t>déduir</w:t>
      </w:r>
      <w:r w:rsidR="00203ABD" w:rsidRPr="00C57832">
        <w:rPr>
          <w:lang w:val="fr-BE"/>
        </w:rPr>
        <w:t>e</w:t>
      </w:r>
      <w:r w:rsidRPr="00C57832">
        <w:rPr>
          <w:lang w:val="fr-BE"/>
        </w:rPr>
        <w:t xml:space="preserve"> d'office du cautionnement les sommes qui lui reviennent.</w:t>
      </w:r>
    </w:p>
    <w:p w14:paraId="397C7E61" w14:textId="26619754" w:rsidR="006B4934" w:rsidRPr="00C127EC" w:rsidRDefault="006B4934" w:rsidP="00BB166A">
      <w:pPr>
        <w:pStyle w:val="Titre3"/>
        <w:numPr>
          <w:ilvl w:val="0"/>
          <w:numId w:val="24"/>
        </w:numPr>
        <w:spacing w:after="100" w:afterAutospacing="1"/>
        <w:rPr>
          <w:b/>
          <w:iCs/>
          <w:sz w:val="24"/>
          <w:szCs w:val="28"/>
          <w:lang w:val="fr-BE" w:eastAsia="nl-NL"/>
        </w:rPr>
      </w:pPr>
      <w:bookmarkStart w:id="92" w:name="_Toc200945514"/>
      <w:bookmarkStart w:id="93" w:name="_Toc201025145"/>
      <w:bookmarkStart w:id="94" w:name="_Toc201587452"/>
      <w:bookmarkStart w:id="95" w:name="_Toc513197755"/>
      <w:r w:rsidRPr="00C127EC">
        <w:rPr>
          <w:b/>
          <w:iCs/>
          <w:sz w:val="24"/>
          <w:szCs w:val="28"/>
          <w:lang w:val="fr-BE" w:eastAsia="nl-NL"/>
        </w:rPr>
        <w:t>Fonctionnaire-dirigeant – Contrôle et surveillance des services effectués</w:t>
      </w:r>
      <w:bookmarkEnd w:id="92"/>
      <w:bookmarkEnd w:id="93"/>
      <w:bookmarkEnd w:id="94"/>
      <w:bookmarkEnd w:id="95"/>
    </w:p>
    <w:p w14:paraId="397C7E62" w14:textId="484CF427" w:rsidR="00CE5D5E" w:rsidRPr="00C57832" w:rsidRDefault="006B4934" w:rsidP="00FD4339">
      <w:pPr>
        <w:rPr>
          <w:szCs w:val="18"/>
          <w:lang w:val="fr-BE"/>
        </w:rPr>
      </w:pPr>
      <w:r w:rsidRPr="00C57832">
        <w:rPr>
          <w:lang w:val="fr-BE"/>
        </w:rPr>
        <w:t>Pendant la durée du contrat, le contrôle et la surveillance de l’exécution des services seront effectués par un agent affecté à cette surveillance (fonctionnaire-dirigeant) désigné par le pouvoir adjudicateur.</w:t>
      </w:r>
      <w:r w:rsidR="00497639" w:rsidRPr="00C57832">
        <w:rPr>
          <w:lang w:val="fr-BE"/>
        </w:rPr>
        <w:t xml:space="preserve"> </w:t>
      </w:r>
      <w:r w:rsidRPr="00C57832">
        <w:rPr>
          <w:lang w:val="fr-BE"/>
        </w:rPr>
        <w:t xml:space="preserve">Dans le cadre de ce </w:t>
      </w:r>
      <w:r w:rsidR="005E5746" w:rsidRPr="00C57832">
        <w:rPr>
          <w:lang w:val="fr-BE"/>
        </w:rPr>
        <w:t>Marché</w:t>
      </w:r>
      <w:r w:rsidRPr="00C57832">
        <w:rPr>
          <w:lang w:val="fr-BE"/>
        </w:rPr>
        <w:t xml:space="preserve">, il s’agit de : </w:t>
      </w:r>
      <w:r w:rsidR="00306B75" w:rsidRPr="00C57832">
        <w:rPr>
          <w:szCs w:val="18"/>
          <w:lang w:val="fr-BE"/>
        </w:rPr>
        <w:fldChar w:fldCharType="begin">
          <w:ffData>
            <w:name w:val=""/>
            <w:enabled/>
            <w:calcOnExit w:val="0"/>
            <w:textInput>
              <w:default w:val="&lt;remplir le nom et les coordonnées du fonctionnaire-dirigeant&gt;"/>
            </w:textInput>
          </w:ffData>
        </w:fldChar>
      </w:r>
      <w:r w:rsidR="00DD47F0"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00DD47F0" w:rsidRPr="00C57832">
        <w:rPr>
          <w:szCs w:val="18"/>
          <w:lang w:val="fr-BE"/>
        </w:rPr>
        <w:t>&lt;remplir le nom et les coordonnées du fonctionnaire-dirigeant&gt;</w:t>
      </w:r>
      <w:r w:rsidR="00306B75" w:rsidRPr="00C57832">
        <w:rPr>
          <w:szCs w:val="18"/>
          <w:lang w:val="fr-BE"/>
        </w:rPr>
        <w:fldChar w:fldCharType="end"/>
      </w:r>
      <w:r w:rsidR="00CE5D5E" w:rsidRPr="00C57832">
        <w:rPr>
          <w:szCs w:val="18"/>
          <w:lang w:val="fr-BE"/>
        </w:rPr>
        <w:t>.</w:t>
      </w:r>
    </w:p>
    <w:p w14:paraId="18A191C9" w14:textId="77777777" w:rsidR="00663A88" w:rsidRPr="00C57832" w:rsidRDefault="00663A88" w:rsidP="00663A88">
      <w:pPr>
        <w:rPr>
          <w:lang w:val="fr-BE"/>
        </w:rPr>
      </w:pPr>
      <w:bookmarkStart w:id="96" w:name="_Toc200945515"/>
      <w:bookmarkStart w:id="97" w:name="_Toc201025146"/>
      <w:bookmarkStart w:id="98" w:name="_Toc201587453"/>
      <w:r w:rsidRPr="00C57832">
        <w:rPr>
          <w:lang w:val="fr-BE"/>
        </w:rPr>
        <w:t xml:space="preserve">Afin de faire contrôler la prestation de services et les matériaux confiés, le prestataire de services est obligé de donner immédiatement accès et ce, en permanence durant les heures ouvrables des sites et après s’être annoncé, à tous les surveillants du pouvoir adjudicateur, de </w:t>
      </w:r>
      <w:proofErr w:type="spellStart"/>
      <w:r w:rsidRPr="00C57832">
        <w:rPr>
          <w:lang w:val="fr-BE"/>
        </w:rPr>
        <w:t>Fost</w:t>
      </w:r>
      <w:proofErr w:type="spellEnd"/>
      <w:r w:rsidRPr="00C57832">
        <w:rPr>
          <w:lang w:val="fr-BE"/>
        </w:rPr>
        <w:t xml:space="preserve"> Plus ou de surveillants désignés par le pouvoir adjudicateur ou </w:t>
      </w:r>
      <w:proofErr w:type="spellStart"/>
      <w:r w:rsidRPr="00C57832">
        <w:rPr>
          <w:lang w:val="fr-BE"/>
        </w:rPr>
        <w:t>Fost</w:t>
      </w:r>
      <w:proofErr w:type="spellEnd"/>
      <w:r w:rsidRPr="00C57832">
        <w:rPr>
          <w:lang w:val="fr-BE"/>
        </w:rPr>
        <w:t xml:space="preserve"> Plus à toutes les activités effectuées dans le cadre de ce Marché.</w:t>
      </w:r>
    </w:p>
    <w:p w14:paraId="096282A5" w14:textId="3ACCA554" w:rsidR="00663A88" w:rsidRPr="00C57832" w:rsidRDefault="00663A88" w:rsidP="00663A88">
      <w:pPr>
        <w:rPr>
          <w:lang w:val="fr-BE"/>
        </w:rPr>
      </w:pPr>
      <w:r w:rsidRPr="00C57832">
        <w:rPr>
          <w:lang w:val="fr-BE"/>
        </w:rPr>
        <w:t xml:space="preserve">Le pouvoir adjudicateur attire l’attention du prestataire de services sur le fait que </w:t>
      </w:r>
      <w:proofErr w:type="spellStart"/>
      <w:r w:rsidRPr="00C57832">
        <w:rPr>
          <w:lang w:val="fr-BE"/>
        </w:rPr>
        <w:t>Fost</w:t>
      </w:r>
      <w:proofErr w:type="spellEnd"/>
      <w:r w:rsidRPr="00C57832">
        <w:rPr>
          <w:lang w:val="fr-BE"/>
        </w:rPr>
        <w:t xml:space="preserve"> Plus peut également appliquer les pénalités spéciales prévues à l’article </w:t>
      </w:r>
      <w:r w:rsidR="0099576C" w:rsidRPr="00C57832">
        <w:rPr>
          <w:lang w:val="fr-BE"/>
        </w:rPr>
        <w:t>20</w:t>
      </w:r>
      <w:r w:rsidRPr="00C57832">
        <w:rPr>
          <w:lang w:val="fr-BE"/>
        </w:rPr>
        <w:t xml:space="preserve"> point B.</w:t>
      </w:r>
    </w:p>
    <w:p w14:paraId="641F7B5F" w14:textId="0B3A0A26" w:rsidR="007A2736" w:rsidRPr="00C127EC" w:rsidRDefault="007A2736" w:rsidP="00BB166A">
      <w:pPr>
        <w:pStyle w:val="Titre3"/>
        <w:numPr>
          <w:ilvl w:val="0"/>
          <w:numId w:val="24"/>
        </w:numPr>
        <w:spacing w:after="100" w:afterAutospacing="1"/>
        <w:rPr>
          <w:b/>
          <w:iCs/>
          <w:sz w:val="24"/>
          <w:szCs w:val="28"/>
          <w:lang w:val="fr-BE" w:eastAsia="nl-NL"/>
        </w:rPr>
      </w:pPr>
      <w:r w:rsidRPr="00C127EC">
        <w:rPr>
          <w:b/>
          <w:iCs/>
          <w:sz w:val="24"/>
          <w:szCs w:val="28"/>
          <w:lang w:val="fr-BE" w:eastAsia="nl-NL"/>
        </w:rPr>
        <w:lastRenderedPageBreak/>
        <w:t>Changement pendant l’</w:t>
      </w:r>
      <w:r w:rsidR="00F07F3F" w:rsidRPr="00C127EC">
        <w:rPr>
          <w:b/>
          <w:iCs/>
          <w:sz w:val="24"/>
          <w:szCs w:val="28"/>
          <w:lang w:val="fr-BE" w:eastAsia="nl-NL"/>
        </w:rPr>
        <w:t>e</w:t>
      </w:r>
      <w:r w:rsidRPr="00C127EC">
        <w:rPr>
          <w:b/>
          <w:iCs/>
          <w:sz w:val="24"/>
          <w:szCs w:val="28"/>
          <w:lang w:val="fr-BE" w:eastAsia="nl-NL"/>
        </w:rPr>
        <w:t>x</w:t>
      </w:r>
      <w:r w:rsidR="00F07F3F" w:rsidRPr="00C127EC">
        <w:rPr>
          <w:b/>
          <w:iCs/>
          <w:sz w:val="24"/>
          <w:szCs w:val="28"/>
          <w:lang w:val="fr-BE" w:eastAsia="nl-NL"/>
        </w:rPr>
        <w:t>é</w:t>
      </w:r>
      <w:r w:rsidRPr="00C127EC">
        <w:rPr>
          <w:b/>
          <w:iCs/>
          <w:sz w:val="24"/>
          <w:szCs w:val="28"/>
          <w:lang w:val="fr-BE" w:eastAsia="nl-NL"/>
        </w:rPr>
        <w:t>cution de la mission</w:t>
      </w:r>
    </w:p>
    <w:p w14:paraId="26CCD995" w14:textId="56BA5C8D" w:rsidR="007A2736" w:rsidRPr="00C57832" w:rsidRDefault="007A2736" w:rsidP="007A2736">
      <w:pPr>
        <w:rPr>
          <w:lang w:val="fr-BE"/>
        </w:rPr>
      </w:pPr>
      <w:r w:rsidRPr="00C57832">
        <w:rPr>
          <w:lang w:val="fr-BE"/>
        </w:rPr>
        <w:t>Le présent marché ne peut être modifié sans nouvelle procédure de pas</w:t>
      </w:r>
      <w:r w:rsidR="00A97CBB" w:rsidRPr="00C57832">
        <w:rPr>
          <w:lang w:val="fr-BE"/>
        </w:rPr>
        <w:t xml:space="preserve">sation sauf en application des </w:t>
      </w:r>
      <w:r w:rsidRPr="00C57832">
        <w:rPr>
          <w:lang w:val="fr-BE"/>
        </w:rPr>
        <w:t>clauses de réexamen</w:t>
      </w:r>
      <w:r w:rsidR="00CB5B9C" w:rsidRPr="00C57832">
        <w:rPr>
          <w:rStyle w:val="Appelnotedebasdep"/>
          <w:lang w:val="fr-BE"/>
        </w:rPr>
        <w:footnoteReference w:id="9"/>
      </w:r>
      <w:r w:rsidRPr="00C57832">
        <w:rPr>
          <w:lang w:val="fr-BE"/>
        </w:rPr>
        <w:t xml:space="preserve"> </w:t>
      </w:r>
      <w:r w:rsidR="00CB5B9C" w:rsidRPr="00C57832">
        <w:rPr>
          <w:lang w:val="fr-BE"/>
        </w:rPr>
        <w:t>suivantes</w:t>
      </w:r>
      <w:r w:rsidR="00E2418D" w:rsidRPr="00C57832">
        <w:rPr>
          <w:lang w:val="fr-BE"/>
        </w:rPr>
        <w:t>.</w:t>
      </w:r>
    </w:p>
    <w:p w14:paraId="1BC3FC74" w14:textId="1E0E2224" w:rsidR="007A2736" w:rsidRPr="00C127EC" w:rsidRDefault="007A2736" w:rsidP="00BB166A">
      <w:pPr>
        <w:pStyle w:val="Titre3"/>
        <w:numPr>
          <w:ilvl w:val="1"/>
          <w:numId w:val="24"/>
        </w:numPr>
        <w:spacing w:after="100" w:afterAutospacing="1"/>
        <w:rPr>
          <w:sz w:val="24"/>
          <w:szCs w:val="24"/>
          <w:lang w:val="fr-BE" w:eastAsia="nl-NL"/>
        </w:rPr>
      </w:pPr>
      <w:r w:rsidRPr="00C127EC">
        <w:rPr>
          <w:sz w:val="24"/>
          <w:szCs w:val="24"/>
          <w:lang w:val="fr-BE" w:eastAsia="nl-NL"/>
        </w:rPr>
        <w:t>Remplacement de l’adjudicataire</w:t>
      </w:r>
    </w:p>
    <w:p w14:paraId="48B8A104" w14:textId="77777777" w:rsidR="007A2736" w:rsidRPr="00C57832" w:rsidRDefault="007A2736" w:rsidP="007A2736">
      <w:pPr>
        <w:rPr>
          <w:lang w:val="fr-BE"/>
        </w:rPr>
      </w:pPr>
      <w:r w:rsidRPr="00C57832">
        <w:rPr>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6E05FD1A" w14:textId="53CDFD6D" w:rsidR="007A2736" w:rsidRPr="00C57832" w:rsidRDefault="007A2736" w:rsidP="007A2736">
      <w:pPr>
        <w:rPr>
          <w:lang w:val="fr-BE"/>
        </w:rPr>
      </w:pPr>
      <w:r w:rsidRPr="00C57832">
        <w:rPr>
          <w:lang w:val="fr-BE"/>
        </w:rPr>
        <w:t>L’adjudicataire introduit sa demande le plus rapidement possible par envoi recommandé, en précisant les raisons de ce remplacement, et en fournissant un inventaire détaillé de l</w:t>
      </w:r>
      <w:r w:rsidR="003C48B1" w:rsidRPr="00C57832">
        <w:rPr>
          <w:lang w:val="fr-BE"/>
        </w:rPr>
        <w:t xml:space="preserve">’état des fournitures/services </w:t>
      </w:r>
      <w:r w:rsidRPr="00C57832">
        <w:rPr>
          <w:lang w:val="fr-BE"/>
        </w:rPr>
        <w:t>déjà exécutées, les coordonnées relatives au nouvel adjudicataire, ainsi que les documents et certificats auxquels le pouvoir adjudicateur n’a pas accès gratuitement.</w:t>
      </w:r>
    </w:p>
    <w:p w14:paraId="76CBC8CD" w14:textId="77777777" w:rsidR="007A2736" w:rsidRPr="00C57832" w:rsidRDefault="007A2736" w:rsidP="007A2736">
      <w:pPr>
        <w:rPr>
          <w:lang w:val="fr-BE"/>
        </w:rPr>
      </w:pPr>
      <w:r w:rsidRPr="00C57832">
        <w:rPr>
          <w:lang w:val="fr-BE"/>
        </w:rPr>
        <w:t xml:space="preserve">Le remplacement fera l’objet d’un avenant daté et signé par les trois parties. L’adjudicataire initial reste responsable vis à vis du pouvoir adjudicateur pour l’exécution de la partie restante du marché. </w:t>
      </w:r>
    </w:p>
    <w:p w14:paraId="02E35225" w14:textId="3864978F" w:rsidR="007A2736" w:rsidRPr="00C127EC" w:rsidRDefault="007A2736" w:rsidP="00BB166A">
      <w:pPr>
        <w:pStyle w:val="Titre3"/>
        <w:numPr>
          <w:ilvl w:val="1"/>
          <w:numId w:val="24"/>
        </w:numPr>
        <w:spacing w:after="100" w:afterAutospacing="1"/>
        <w:rPr>
          <w:sz w:val="24"/>
          <w:szCs w:val="24"/>
          <w:lang w:val="fr-BE" w:eastAsia="nl-NL"/>
        </w:rPr>
      </w:pPr>
      <w:r w:rsidRPr="00C127EC">
        <w:rPr>
          <w:sz w:val="24"/>
          <w:szCs w:val="24"/>
          <w:lang w:val="fr-BE" w:eastAsia="nl-NL"/>
        </w:rPr>
        <w:t>Impositions ayant une incidence sur le montant du marché</w:t>
      </w:r>
    </w:p>
    <w:p w14:paraId="65D2F7AF" w14:textId="77777777" w:rsidR="007A2736" w:rsidRPr="00C57832" w:rsidRDefault="007A2736" w:rsidP="007A2736">
      <w:pPr>
        <w:rPr>
          <w:lang w:val="fr-BE"/>
        </w:rPr>
      </w:pPr>
      <w:r w:rsidRPr="00C57832">
        <w:rPr>
          <w:lang w:val="fr-BE"/>
        </w:rPr>
        <w:t>L’adjudicataire peut se prévaloir des modifications des impositions en Belgique ayant une incidence sur le montant du marché aux conditions suivantes :</w:t>
      </w:r>
    </w:p>
    <w:p w14:paraId="6974CECA" w14:textId="77777777" w:rsidR="007A2736" w:rsidRPr="00C57832" w:rsidRDefault="007A2736" w:rsidP="007A2736">
      <w:pPr>
        <w:rPr>
          <w:lang w:val="fr-BE"/>
        </w:rPr>
      </w:pPr>
      <w:r w:rsidRPr="00C57832">
        <w:rPr>
          <w:lang w:val="fr-BE"/>
        </w:rPr>
        <w:t>1.</w:t>
      </w:r>
      <w:r w:rsidRPr="00C57832">
        <w:rPr>
          <w:lang w:val="fr-BE"/>
        </w:rPr>
        <w:tab/>
        <w:t>la modification est entrée en vigueur après le dixième jour précédant la date ultime fixée pour la réception des offres ; et</w:t>
      </w:r>
    </w:p>
    <w:p w14:paraId="412E0089" w14:textId="77777777" w:rsidR="007A2736" w:rsidRPr="00C57832" w:rsidRDefault="007A2736" w:rsidP="007A2736">
      <w:pPr>
        <w:rPr>
          <w:lang w:val="fr-BE"/>
        </w:rPr>
      </w:pPr>
      <w:r w:rsidRPr="00C57832">
        <w:rPr>
          <w:lang w:val="fr-BE"/>
        </w:rPr>
        <w:t>2.</w:t>
      </w:r>
      <w:r w:rsidRPr="00C57832">
        <w:rPr>
          <w:lang w:val="fr-BE"/>
        </w:rPr>
        <w:tab/>
        <w:t xml:space="preserve">soit directement, soit indirectement par l'intermédiaire d'un indice, ces impositions ne sont pas incorporées dans la formule de révision prévue dans les documents du marché en application de la révision de prix </w:t>
      </w:r>
    </w:p>
    <w:p w14:paraId="1CD769DA" w14:textId="77777777" w:rsidR="007A2736" w:rsidRPr="00C57832" w:rsidRDefault="007A2736" w:rsidP="007A2736">
      <w:pPr>
        <w:rPr>
          <w:lang w:val="fr-BE"/>
        </w:rPr>
      </w:pPr>
      <w:r w:rsidRPr="00C57832">
        <w:rPr>
          <w:lang w:val="fr-BE"/>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0F04A11F" w14:textId="77777777" w:rsidR="007A2736" w:rsidRPr="00C57832" w:rsidRDefault="007A2736" w:rsidP="007A2736">
      <w:pPr>
        <w:rPr>
          <w:lang w:val="fr-BE"/>
        </w:rPr>
      </w:pPr>
      <w:r w:rsidRPr="00C57832">
        <w:rPr>
          <w:lang w:val="fr-BE"/>
        </w:rPr>
        <w:t>Sous peine de déchéance, l’adjudicataire doit transmettre par écrit au pouvoir adjudicateur la justification chiffrée de sa demande dans les délais suivants :</w:t>
      </w:r>
    </w:p>
    <w:p w14:paraId="3FA5DC55" w14:textId="77777777" w:rsidR="007A2736" w:rsidRPr="00C57832" w:rsidRDefault="007A2736" w:rsidP="007A2736">
      <w:pPr>
        <w:rPr>
          <w:lang w:val="fr-BE"/>
        </w:rPr>
      </w:pPr>
      <w:r w:rsidRPr="00C57832">
        <w:rPr>
          <w:lang w:val="fr-BE"/>
        </w:rPr>
        <w:t>1°</w:t>
      </w:r>
      <w:r w:rsidRPr="00C57832">
        <w:rPr>
          <w:lang w:val="fr-BE"/>
        </w:rPr>
        <w:tab/>
        <w:t>avant l’expiration des délais contractuels pour obtenir une prolongation des délais d’exécution ou la résiliation du marché ;</w:t>
      </w:r>
    </w:p>
    <w:p w14:paraId="590279F3" w14:textId="0D130501" w:rsidR="007A2736" w:rsidRPr="00C57832" w:rsidRDefault="007A2736" w:rsidP="007A2736">
      <w:pPr>
        <w:rPr>
          <w:lang w:val="fr-BE"/>
        </w:rPr>
      </w:pPr>
      <w:r w:rsidRPr="00C57832">
        <w:rPr>
          <w:lang w:val="fr-BE"/>
        </w:rPr>
        <w:t>2°</w:t>
      </w:r>
      <w:r w:rsidRPr="00C57832">
        <w:rPr>
          <w:lang w:val="fr-BE"/>
        </w:rPr>
        <w:tab/>
        <w:t xml:space="preserve">au plus tard nonante jours à compter de la date de la notification à l’adjudicataire du procès-verbal de la réception provisoire du marché, pour obtenir une révision du marché autre que celle visée au 1° ou des dommages et </w:t>
      </w:r>
      <w:r w:rsidR="001F2080" w:rsidRPr="00C57832">
        <w:rPr>
          <w:lang w:val="fr-BE"/>
        </w:rPr>
        <w:t>intérêts</w:t>
      </w:r>
      <w:r w:rsidR="00ED65A6" w:rsidRPr="00C57832">
        <w:rPr>
          <w:rStyle w:val="Appelnotedebasdep"/>
          <w:lang w:val="fr-BE"/>
        </w:rPr>
        <w:footnoteReference w:id="10"/>
      </w:r>
      <w:r w:rsidR="001F2080" w:rsidRPr="00C57832">
        <w:rPr>
          <w:lang w:val="fr-BE"/>
        </w:rPr>
        <w:t xml:space="preserve"> ;</w:t>
      </w:r>
    </w:p>
    <w:p w14:paraId="4F0D4DA5" w14:textId="77777777" w:rsidR="007A2736" w:rsidRPr="00C57832" w:rsidRDefault="007A2736" w:rsidP="007A2736">
      <w:pPr>
        <w:rPr>
          <w:lang w:val="fr-BE"/>
        </w:rPr>
      </w:pPr>
      <w:r w:rsidRPr="00C57832">
        <w:rPr>
          <w:lang w:val="fr-BE"/>
        </w:rPr>
        <w:t>3°</w:t>
      </w:r>
      <w:r w:rsidRPr="00C57832">
        <w:rPr>
          <w:lang w:val="fr-BE"/>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4C68A222" w14:textId="302B7DD1" w:rsidR="007A2736" w:rsidRPr="00C127EC" w:rsidRDefault="007A2736" w:rsidP="00BB166A">
      <w:pPr>
        <w:pStyle w:val="Titre3"/>
        <w:numPr>
          <w:ilvl w:val="1"/>
          <w:numId w:val="24"/>
        </w:numPr>
        <w:spacing w:after="100" w:afterAutospacing="1"/>
        <w:rPr>
          <w:sz w:val="24"/>
          <w:szCs w:val="24"/>
          <w:lang w:val="fr-BE" w:eastAsia="nl-NL"/>
        </w:rPr>
      </w:pPr>
      <w:r w:rsidRPr="00C127EC">
        <w:rPr>
          <w:sz w:val="24"/>
          <w:szCs w:val="24"/>
          <w:lang w:val="fr-BE" w:eastAsia="nl-NL"/>
        </w:rPr>
        <w:lastRenderedPageBreak/>
        <w:t>Circonstances imprévisibles dans le chef de l’adjudicataire</w:t>
      </w:r>
      <w:r w:rsidR="00F07F3F" w:rsidRPr="00C127EC">
        <w:rPr>
          <w:sz w:val="24"/>
          <w:szCs w:val="24"/>
          <w:lang w:val="fr-BE" w:eastAsia="nl-NL"/>
        </w:rPr>
        <w:t xml:space="preserve"> au détriment de l’adjudicataire</w:t>
      </w:r>
    </w:p>
    <w:p w14:paraId="6520E178" w14:textId="77777777" w:rsidR="007A2736" w:rsidRPr="00C57832" w:rsidRDefault="007A2736" w:rsidP="007A2736">
      <w:pPr>
        <w:rPr>
          <w:lang w:val="fr-BE"/>
        </w:rPr>
      </w:pPr>
      <w:r w:rsidRPr="00C57832">
        <w:rPr>
          <w:lang w:val="fr-BE"/>
        </w:rPr>
        <w:t xml:space="preserve">Le marché peut faire </w:t>
      </w:r>
      <w:r w:rsidRPr="00584DF8">
        <w:rPr>
          <w:lang w:val="fr-BE"/>
        </w:rPr>
        <w:t xml:space="preserve">l’objet d’une modification lorsque l’équilibre contractuel est bouleversé </w:t>
      </w:r>
      <w:r w:rsidRPr="00584DF8">
        <w:rPr>
          <w:b/>
          <w:u w:val="single"/>
          <w:lang w:val="fr-BE"/>
        </w:rPr>
        <w:t>au détriment de</w:t>
      </w:r>
      <w:r w:rsidRPr="00584DF8">
        <w:rPr>
          <w:lang w:val="fr-BE"/>
        </w:rPr>
        <w:t xml:space="preserve"> l’adjudicataire</w:t>
      </w:r>
      <w:r w:rsidRPr="00C57832">
        <w:rPr>
          <w:lang w:val="fr-BE"/>
        </w:rPr>
        <w:t xml:space="preserve"> par des circonstances quelconques auxquelles le pouvoir adjudicateur est resté étranger. </w:t>
      </w:r>
    </w:p>
    <w:p w14:paraId="3976A0BF" w14:textId="77777777" w:rsidR="007A2736" w:rsidRPr="00C57832" w:rsidRDefault="007A2736" w:rsidP="007A2736">
      <w:pPr>
        <w:rPr>
          <w:lang w:val="fr-BE"/>
        </w:rPr>
      </w:pPr>
      <w:r w:rsidRPr="00C57832">
        <w:rPr>
          <w:lang w:val="fr-BE"/>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nécessaires. </w:t>
      </w:r>
    </w:p>
    <w:p w14:paraId="1701854C" w14:textId="77777777" w:rsidR="007A2736" w:rsidRPr="00C57832" w:rsidRDefault="007A2736" w:rsidP="007A2736">
      <w:pPr>
        <w:rPr>
          <w:lang w:val="fr-BE"/>
        </w:rPr>
      </w:pPr>
      <w:r w:rsidRPr="00C57832">
        <w:rPr>
          <w:lang w:val="fr-BE"/>
        </w:rPr>
        <w:t>L'adjudicataire ne peut invoquer la défaillance d'un sous-traitant que pour autant que ce dernier puisse se prévaloir des circonstances que l'adjudicataire aurait pu lui-même invoquer s'il avait été placé dans une situation analogue.</w:t>
      </w:r>
    </w:p>
    <w:p w14:paraId="30637A25" w14:textId="77777777" w:rsidR="007A2736" w:rsidRPr="00C57832" w:rsidRDefault="007A2736" w:rsidP="007A2736">
      <w:pPr>
        <w:rPr>
          <w:lang w:val="fr-BE"/>
        </w:rPr>
      </w:pPr>
      <w:r w:rsidRPr="00C57832">
        <w:rPr>
          <w:lang w:val="fr-BE"/>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351A67E" w14:textId="77777777" w:rsidR="007A2736" w:rsidRPr="00C57832" w:rsidRDefault="007A2736" w:rsidP="007A2736">
      <w:pPr>
        <w:rPr>
          <w:lang w:val="fr-BE"/>
        </w:rPr>
      </w:pPr>
      <w:r w:rsidRPr="00C57832">
        <w:rPr>
          <w:lang w:val="fr-BE"/>
        </w:rPr>
        <w:t>Sous peine de déchéance, l’adjudicataire doit transmettre par écrit au pouvoir adjudicateur la justification chiffrée de sa demande dans les délais suivants :</w:t>
      </w:r>
    </w:p>
    <w:p w14:paraId="1E6D33CD" w14:textId="77777777" w:rsidR="007A2736" w:rsidRPr="00C57832" w:rsidRDefault="007A2736" w:rsidP="007A2736">
      <w:pPr>
        <w:rPr>
          <w:lang w:val="fr-BE"/>
        </w:rPr>
      </w:pPr>
      <w:r w:rsidRPr="00C57832">
        <w:rPr>
          <w:lang w:val="fr-BE"/>
        </w:rPr>
        <w:t>1°</w:t>
      </w:r>
      <w:r w:rsidRPr="00C57832">
        <w:rPr>
          <w:lang w:val="fr-BE"/>
        </w:rPr>
        <w:tab/>
        <w:t>avant l’expiration des délais contractuels pour obtenir une prolongation des délais d’exécution ou la résiliation du marché ;</w:t>
      </w:r>
    </w:p>
    <w:p w14:paraId="5E68F50B" w14:textId="77777777" w:rsidR="007A2736" w:rsidRPr="00C57832" w:rsidRDefault="007A2736" w:rsidP="007A2736">
      <w:pPr>
        <w:rPr>
          <w:lang w:val="fr-BE"/>
        </w:rPr>
      </w:pPr>
      <w:r w:rsidRPr="00C57832">
        <w:rPr>
          <w:lang w:val="fr-BE"/>
        </w:rPr>
        <w:t>2°</w:t>
      </w:r>
      <w:r w:rsidRPr="00C57832">
        <w:rPr>
          <w:lang w:val="fr-BE"/>
        </w:rPr>
        <w:tab/>
        <w:t xml:space="preserve">au plus tard nonante jours à compter de la date de la notification à l’adjudicataire du procès-verbal de la réception provisoire du marché, pour obtenir une révision du marché autre que celle visée au 1° ou des dommages et </w:t>
      </w:r>
      <w:proofErr w:type="gramStart"/>
      <w:r w:rsidRPr="00C57832">
        <w:rPr>
          <w:lang w:val="fr-BE"/>
        </w:rPr>
        <w:t>intérêts;</w:t>
      </w:r>
      <w:proofErr w:type="gramEnd"/>
    </w:p>
    <w:p w14:paraId="7B8DA253" w14:textId="77777777" w:rsidR="007A2736" w:rsidRPr="00C57832" w:rsidRDefault="007A2736" w:rsidP="007A2736">
      <w:pPr>
        <w:rPr>
          <w:lang w:val="fr-BE"/>
        </w:rPr>
      </w:pPr>
      <w:r w:rsidRPr="00C57832">
        <w:rPr>
          <w:lang w:val="fr-BE"/>
        </w:rPr>
        <w:t>3°</w:t>
      </w:r>
      <w:r w:rsidRPr="00C57832">
        <w:rPr>
          <w:lang w:val="fr-BE"/>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0399499C" w14:textId="77777777" w:rsidR="007A2736" w:rsidRPr="00C57832" w:rsidRDefault="007A2736" w:rsidP="007A2736">
      <w:pPr>
        <w:rPr>
          <w:lang w:val="fr-BE"/>
        </w:rPr>
      </w:pPr>
      <w:r w:rsidRPr="00C57832">
        <w:rPr>
          <w:lang w:val="fr-BE"/>
        </w:rPr>
        <w:t>Lorsque les conditions seront réunies, l’adjudicataire pourra obtenir soit une prolongation des délais d’exécution, soit la résiliation du marché.</w:t>
      </w:r>
    </w:p>
    <w:p w14:paraId="2AA9981A" w14:textId="712A5222" w:rsidR="007A2736" w:rsidRPr="00C127EC" w:rsidRDefault="007A2736" w:rsidP="00BB166A">
      <w:pPr>
        <w:pStyle w:val="Titre3"/>
        <w:numPr>
          <w:ilvl w:val="1"/>
          <w:numId w:val="24"/>
        </w:numPr>
        <w:spacing w:after="100" w:afterAutospacing="1"/>
        <w:rPr>
          <w:sz w:val="24"/>
          <w:szCs w:val="24"/>
          <w:lang w:val="fr-BE" w:eastAsia="nl-NL"/>
        </w:rPr>
      </w:pPr>
      <w:r w:rsidRPr="00C127EC">
        <w:rPr>
          <w:sz w:val="24"/>
          <w:szCs w:val="24"/>
          <w:lang w:val="fr-BE" w:eastAsia="nl-NL"/>
        </w:rPr>
        <w:t>Circonstances imprévisibles dans le chef de l’adjudicataire</w:t>
      </w:r>
      <w:r w:rsidR="00F07F3F" w:rsidRPr="00C127EC">
        <w:rPr>
          <w:sz w:val="24"/>
          <w:szCs w:val="24"/>
          <w:lang w:val="fr-BE" w:eastAsia="nl-NL"/>
        </w:rPr>
        <w:t xml:space="preserve"> en faveur de l’adjudicataire</w:t>
      </w:r>
    </w:p>
    <w:p w14:paraId="473CDA49" w14:textId="3803EC49" w:rsidR="007A2736" w:rsidRPr="00C57832" w:rsidRDefault="007A2736" w:rsidP="007A2736">
      <w:pPr>
        <w:rPr>
          <w:lang w:val="fr-BE"/>
        </w:rPr>
      </w:pPr>
      <w:r w:rsidRPr="00C57832">
        <w:rPr>
          <w:lang w:val="fr-BE"/>
        </w:rPr>
        <w:t xml:space="preserve">Le </w:t>
      </w:r>
      <w:r w:rsidRPr="00584DF8">
        <w:rPr>
          <w:lang w:val="fr-BE"/>
        </w:rPr>
        <w:t xml:space="preserve">marché peut faire l’objet d’une modification lorsque l’équilibre contractuel du marché a été bouleversé </w:t>
      </w:r>
      <w:r w:rsidRPr="00584DF8">
        <w:rPr>
          <w:b/>
          <w:u w:val="single"/>
          <w:lang w:val="fr-BE"/>
        </w:rPr>
        <w:t>en faveur de</w:t>
      </w:r>
      <w:r w:rsidRPr="00584DF8">
        <w:rPr>
          <w:lang w:val="fr-BE"/>
        </w:rPr>
        <w:t xml:space="preserve"> l’adjudicataire en raison de circonstances quelconques auxquelles le pouvoir adjudicateur est resté étranger</w:t>
      </w:r>
      <w:r w:rsidRPr="00C57832">
        <w:rPr>
          <w:lang w:val="fr-BE"/>
        </w:rPr>
        <w:t>.</w:t>
      </w:r>
    </w:p>
    <w:p w14:paraId="048F0F3F" w14:textId="77777777" w:rsidR="007A2736" w:rsidRPr="00C57832" w:rsidRDefault="007A2736" w:rsidP="007A2736">
      <w:pPr>
        <w:rPr>
          <w:lang w:val="fr-BE"/>
        </w:rPr>
      </w:pPr>
      <w:r w:rsidRPr="00C57832">
        <w:rPr>
          <w:lang w:val="fr-BE"/>
        </w:rPr>
        <w:t xml:space="preserve">L’adjudicateur qui veut se baser sur cette clause de réexamen, doit dénoncer les faits ou les circonstances sur lesquels il se base, par écrit dans les trente jours de leur survenance ou de la date à laquelle l’adjudicataire ou l’adjudicateur aurait normalement dû en avoir connaissance. Il décrit de manière précise leur sur le déroulement et le coût du marché.  </w:t>
      </w:r>
    </w:p>
    <w:p w14:paraId="7F488680" w14:textId="77777777" w:rsidR="007A2736" w:rsidRPr="00C57832" w:rsidRDefault="007A2736" w:rsidP="007A2736">
      <w:pPr>
        <w:rPr>
          <w:lang w:val="fr-BE"/>
        </w:rPr>
      </w:pPr>
      <w:r w:rsidRPr="00C57832">
        <w:rPr>
          <w:lang w:val="fr-BE"/>
        </w:rPr>
        <w:t xml:space="preserve">L’adjudicateur qui demande l’application de la clause de réexamen, doit le faire au plus tard nonante jours à compter de la date de la notification à l’adjudicataire du procès-verbal de la réception provisoire du marché en vue de la révision du marché. </w:t>
      </w:r>
    </w:p>
    <w:p w14:paraId="1C5CD98F" w14:textId="77777777" w:rsidR="007A2736" w:rsidRPr="00C57832" w:rsidRDefault="007A2736" w:rsidP="007A2736">
      <w:pPr>
        <w:rPr>
          <w:lang w:val="fr-BE"/>
        </w:rPr>
      </w:pPr>
      <w:r w:rsidRPr="00C57832">
        <w:rPr>
          <w:lang w:val="fr-BE"/>
        </w:rPr>
        <w:t xml:space="preserve">Lorsque les conditions seront réunies, l’adjudicataire pourra obtenir soit une réduction des délais d’exécution, soit, lorsqu’il s’agit d’un avantage très important, en une autre forme de révision des dispositions du marché ou en la résiliation du marché. </w:t>
      </w:r>
    </w:p>
    <w:p w14:paraId="40703AAA" w14:textId="10519889" w:rsidR="007A2736" w:rsidRPr="00C127EC" w:rsidRDefault="007A2736" w:rsidP="00BB166A">
      <w:pPr>
        <w:pStyle w:val="Titre3"/>
        <w:numPr>
          <w:ilvl w:val="1"/>
          <w:numId w:val="24"/>
        </w:numPr>
        <w:spacing w:after="100" w:afterAutospacing="1"/>
        <w:rPr>
          <w:sz w:val="24"/>
          <w:szCs w:val="24"/>
          <w:lang w:val="fr-BE" w:eastAsia="nl-NL"/>
        </w:rPr>
      </w:pPr>
      <w:r w:rsidRPr="00C127EC">
        <w:rPr>
          <w:sz w:val="24"/>
          <w:szCs w:val="24"/>
          <w:lang w:val="fr-BE" w:eastAsia="nl-NL"/>
        </w:rPr>
        <w:lastRenderedPageBreak/>
        <w:t>Faits de l’adjudicateur et de l’adjudicataire</w:t>
      </w:r>
    </w:p>
    <w:p w14:paraId="2C876C7E" w14:textId="2775D98B" w:rsidR="007A2736" w:rsidRPr="00C57832" w:rsidRDefault="007A2736" w:rsidP="007A2736">
      <w:pPr>
        <w:rPr>
          <w:lang w:val="fr-BE"/>
        </w:rPr>
      </w:pPr>
      <w:r w:rsidRPr="00C57832">
        <w:rPr>
          <w:lang w:val="fr-BE"/>
        </w:rPr>
        <w:t>Lorsque l’adjudicataire ou l’adjudicateur a subi un retard ou un préjudice suite aux carences, lenteurs ou faits quelconques qui peuvent</w:t>
      </w:r>
      <w:r w:rsidR="00584DF8">
        <w:rPr>
          <w:lang w:val="fr-BE"/>
        </w:rPr>
        <w:t xml:space="preserve"> être imputés à l’autre partie,</w:t>
      </w:r>
      <w:r w:rsidRPr="00C57832">
        <w:rPr>
          <w:lang w:val="fr-BE"/>
        </w:rPr>
        <w:t xml:space="preserve"> l’adjudicataire ou l’adjudicateur pourra, lorsque les conditions seront </w:t>
      </w:r>
      <w:proofErr w:type="gramStart"/>
      <w:r w:rsidRPr="00C57832">
        <w:rPr>
          <w:lang w:val="fr-BE"/>
        </w:rPr>
        <w:t>réunies,  obtenir</w:t>
      </w:r>
      <w:proofErr w:type="gramEnd"/>
      <w:r w:rsidRPr="00C57832">
        <w:rPr>
          <w:lang w:val="fr-BE"/>
        </w:rPr>
        <w:t xml:space="preserve"> une ou plusieurs mesures suivantes: </w:t>
      </w:r>
    </w:p>
    <w:p w14:paraId="6259E45B" w14:textId="77777777" w:rsidR="007A2736" w:rsidRPr="00C57832" w:rsidRDefault="007A2736" w:rsidP="007A2736">
      <w:pPr>
        <w:rPr>
          <w:lang w:val="fr-BE"/>
        </w:rPr>
      </w:pPr>
      <w:r w:rsidRPr="00C57832">
        <w:rPr>
          <w:lang w:val="fr-BE"/>
        </w:rPr>
        <w:t>1°</w:t>
      </w:r>
      <w:r w:rsidRPr="00C57832">
        <w:rPr>
          <w:lang w:val="fr-BE"/>
        </w:rPr>
        <w:tab/>
        <w:t>la révision des dispositions contractuelles, en ce compris la prolongation ou la réduction des délais d’exécution ;</w:t>
      </w:r>
    </w:p>
    <w:p w14:paraId="2D9A54F2" w14:textId="77777777" w:rsidR="007A2736" w:rsidRPr="00C57832" w:rsidRDefault="007A2736" w:rsidP="007A2736">
      <w:pPr>
        <w:rPr>
          <w:lang w:val="fr-BE"/>
        </w:rPr>
      </w:pPr>
      <w:r w:rsidRPr="00C57832">
        <w:rPr>
          <w:lang w:val="fr-BE"/>
        </w:rPr>
        <w:t>2°</w:t>
      </w:r>
      <w:r w:rsidRPr="00C57832">
        <w:rPr>
          <w:lang w:val="fr-BE"/>
        </w:rPr>
        <w:tab/>
        <w:t>des dommages et intérêts ;</w:t>
      </w:r>
    </w:p>
    <w:p w14:paraId="14B9923F" w14:textId="77777777" w:rsidR="007A2736" w:rsidRPr="00C57832" w:rsidRDefault="007A2736" w:rsidP="007A2736">
      <w:pPr>
        <w:rPr>
          <w:lang w:val="fr-BE"/>
        </w:rPr>
      </w:pPr>
      <w:r w:rsidRPr="00C57832">
        <w:rPr>
          <w:lang w:val="fr-BE"/>
        </w:rPr>
        <w:t>3°</w:t>
      </w:r>
      <w:r w:rsidRPr="00C57832">
        <w:rPr>
          <w:lang w:val="fr-BE"/>
        </w:rPr>
        <w:tab/>
        <w:t>la résiliation du marché.</w:t>
      </w:r>
      <w:r w:rsidRPr="00C57832">
        <w:rPr>
          <w:lang w:val="fr-BE"/>
        </w:rPr>
        <w:tab/>
      </w:r>
    </w:p>
    <w:p w14:paraId="2E2C358F" w14:textId="77777777" w:rsidR="007A2736" w:rsidRPr="00C57832" w:rsidRDefault="007A2736" w:rsidP="007A2736">
      <w:pPr>
        <w:rPr>
          <w:lang w:val="fr-BE"/>
        </w:rPr>
      </w:pPr>
      <w:r w:rsidRPr="00C57832">
        <w:rPr>
          <w:lang w:val="fr-BE"/>
        </w:rPr>
        <w:t xml:space="preserve">L’adjudicateur qui veut se baser sur cette clause de réexamen, doit dénoncer les faits ou les circonstances sur lesquels il se base, par écrit dans les trente jours de leur survenance ou de la date à laquelle l’adjudicataire ou l’adjudicateur aurait normalement dû en avoir connaissance. Il décrit de manière précise leur sur le déroulement et le coût du marché.  </w:t>
      </w:r>
    </w:p>
    <w:p w14:paraId="710F6B0A" w14:textId="77777777" w:rsidR="007A2736" w:rsidRPr="00C57832" w:rsidRDefault="007A2736" w:rsidP="007A2736">
      <w:pPr>
        <w:rPr>
          <w:lang w:val="fr-BE"/>
        </w:rPr>
      </w:pPr>
      <w:r w:rsidRPr="00C57832">
        <w:rPr>
          <w:lang w:val="fr-BE"/>
        </w:rPr>
        <w:t>Sous peine de déchéance, l’adjudicataire doit transmettre par écrit au pouvoir adjudicateur la justification chiffrée de sa demande dans les délais suivants :</w:t>
      </w:r>
    </w:p>
    <w:p w14:paraId="778A5265" w14:textId="77777777" w:rsidR="007A2736" w:rsidRPr="00C57832" w:rsidRDefault="007A2736" w:rsidP="007A2736">
      <w:pPr>
        <w:rPr>
          <w:lang w:val="fr-BE"/>
        </w:rPr>
      </w:pPr>
      <w:r w:rsidRPr="00C57832">
        <w:rPr>
          <w:lang w:val="fr-BE"/>
        </w:rPr>
        <w:t>1°</w:t>
      </w:r>
      <w:r w:rsidRPr="00C57832">
        <w:rPr>
          <w:lang w:val="fr-BE"/>
        </w:rPr>
        <w:tab/>
        <w:t>avant l’expiration des délais contractuels pour obtenir une prolongation des délais d’exécution ou la résiliation du marché ;</w:t>
      </w:r>
    </w:p>
    <w:p w14:paraId="1087DEF6" w14:textId="77777777" w:rsidR="007A2736" w:rsidRPr="00C57832" w:rsidRDefault="007A2736" w:rsidP="007A2736">
      <w:pPr>
        <w:rPr>
          <w:lang w:val="fr-BE"/>
        </w:rPr>
      </w:pPr>
      <w:r w:rsidRPr="00C57832">
        <w:rPr>
          <w:lang w:val="fr-BE"/>
        </w:rPr>
        <w:t xml:space="preserve">2° au plus tard nonante jours à compter de la date de la notification à l’adjudicataire du procès-verbal de la réception provisoire du marché, pour obtenir une révision du marché autre que celle visée au 1° ou des dommages et </w:t>
      </w:r>
      <w:proofErr w:type="gramStart"/>
      <w:r w:rsidRPr="00C57832">
        <w:rPr>
          <w:lang w:val="fr-BE"/>
        </w:rPr>
        <w:t>intérêts;</w:t>
      </w:r>
      <w:proofErr w:type="gramEnd"/>
    </w:p>
    <w:p w14:paraId="478136FE" w14:textId="77777777" w:rsidR="007A2736" w:rsidRPr="00C57832" w:rsidRDefault="007A2736" w:rsidP="007A2736">
      <w:pPr>
        <w:rPr>
          <w:lang w:val="fr-BE"/>
        </w:rPr>
      </w:pPr>
      <w:r w:rsidRPr="00C57832">
        <w:rPr>
          <w:lang w:val="fr-BE"/>
        </w:rPr>
        <w:t>3° 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43278DE2" w14:textId="77777777" w:rsidR="007A2736" w:rsidRPr="00C57832" w:rsidRDefault="007A2736" w:rsidP="007A2736">
      <w:pPr>
        <w:rPr>
          <w:lang w:val="fr-BE"/>
        </w:rPr>
      </w:pPr>
      <w:r w:rsidRPr="00C57832">
        <w:rPr>
          <w:lang w:val="fr-BE"/>
        </w:rPr>
        <w:t xml:space="preserve">Lorsque les conditions seront réunies, l’adjudicataire pourra obtenir une ou plusieurs mesures </w:t>
      </w:r>
      <w:proofErr w:type="gramStart"/>
      <w:r w:rsidRPr="00C57832">
        <w:rPr>
          <w:lang w:val="fr-BE"/>
        </w:rPr>
        <w:t>suivantes:</w:t>
      </w:r>
      <w:proofErr w:type="gramEnd"/>
      <w:r w:rsidRPr="00C57832">
        <w:rPr>
          <w:lang w:val="fr-BE"/>
        </w:rPr>
        <w:t xml:space="preserve"> </w:t>
      </w:r>
    </w:p>
    <w:p w14:paraId="5F7AE83F" w14:textId="77777777" w:rsidR="007A2736" w:rsidRPr="00C57832" w:rsidRDefault="007A2736" w:rsidP="007A2736">
      <w:pPr>
        <w:rPr>
          <w:lang w:val="fr-BE"/>
        </w:rPr>
      </w:pPr>
      <w:r w:rsidRPr="00C57832">
        <w:rPr>
          <w:lang w:val="fr-BE"/>
        </w:rPr>
        <w:t>1°</w:t>
      </w:r>
      <w:r w:rsidRPr="00C57832">
        <w:rPr>
          <w:lang w:val="fr-BE"/>
        </w:rPr>
        <w:tab/>
        <w:t>la révision des dispositions contractuelles, en ce compris la prolongation ou la réduction des délais d’exécution ;</w:t>
      </w:r>
    </w:p>
    <w:p w14:paraId="092CAE3A" w14:textId="77777777" w:rsidR="007A2736" w:rsidRPr="00C57832" w:rsidRDefault="007A2736" w:rsidP="007A2736">
      <w:pPr>
        <w:rPr>
          <w:lang w:val="fr-BE"/>
        </w:rPr>
      </w:pPr>
      <w:r w:rsidRPr="00C57832">
        <w:rPr>
          <w:lang w:val="fr-BE"/>
        </w:rPr>
        <w:t>2°</w:t>
      </w:r>
      <w:r w:rsidRPr="00C57832">
        <w:rPr>
          <w:lang w:val="fr-BE"/>
        </w:rPr>
        <w:tab/>
        <w:t>des dommages et intérêts ;</w:t>
      </w:r>
    </w:p>
    <w:p w14:paraId="1224ABC8" w14:textId="77777777" w:rsidR="007A2736" w:rsidRPr="00C57832" w:rsidRDefault="007A2736" w:rsidP="007A2736">
      <w:pPr>
        <w:rPr>
          <w:lang w:val="fr-BE"/>
        </w:rPr>
      </w:pPr>
      <w:r w:rsidRPr="00C57832">
        <w:rPr>
          <w:lang w:val="fr-BE"/>
        </w:rPr>
        <w:t>3°</w:t>
      </w:r>
      <w:r w:rsidRPr="00C57832">
        <w:rPr>
          <w:lang w:val="fr-BE"/>
        </w:rPr>
        <w:tab/>
        <w:t>la résiliation du marché.</w:t>
      </w:r>
    </w:p>
    <w:p w14:paraId="23DEE0CA" w14:textId="01DAAA41" w:rsidR="007A2736" w:rsidRPr="00C127EC" w:rsidRDefault="007A2736" w:rsidP="00BB166A">
      <w:pPr>
        <w:pStyle w:val="Titre3"/>
        <w:numPr>
          <w:ilvl w:val="1"/>
          <w:numId w:val="24"/>
        </w:numPr>
        <w:spacing w:after="100" w:afterAutospacing="1"/>
        <w:rPr>
          <w:sz w:val="24"/>
          <w:szCs w:val="24"/>
          <w:lang w:val="fr-BE" w:eastAsia="nl-NL"/>
        </w:rPr>
      </w:pPr>
      <w:r w:rsidRPr="00C127EC">
        <w:rPr>
          <w:sz w:val="24"/>
          <w:szCs w:val="24"/>
          <w:lang w:val="fr-BE" w:eastAsia="nl-NL"/>
        </w:rPr>
        <w:t>Indemnités suite aux suspensions ordonnées par l’adjudicateur et incidents durant la procédure</w:t>
      </w:r>
    </w:p>
    <w:p w14:paraId="386263A6" w14:textId="159F5965" w:rsidR="007A2736" w:rsidRPr="00C57832" w:rsidRDefault="007A2736" w:rsidP="007A2736">
      <w:pPr>
        <w:rPr>
          <w:lang w:val="fr-BE"/>
        </w:rPr>
      </w:pPr>
      <w:r w:rsidRPr="00C57832">
        <w:rPr>
          <w:lang w:val="fr-BE"/>
        </w:rPr>
        <w:t>Le pouvoir adjudicateur</w:t>
      </w:r>
      <w:r w:rsidR="00773408" w:rsidRPr="00C57832">
        <w:rPr>
          <w:lang w:val="fr-BE"/>
        </w:rPr>
        <w:t xml:space="preserve"> </w:t>
      </w:r>
      <w:r w:rsidRPr="00C57832">
        <w:rPr>
          <w:lang w:val="fr-BE"/>
        </w:rPr>
        <w:t>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3195AEF9" w14:textId="77777777" w:rsidR="007A2736" w:rsidRPr="00C57832" w:rsidRDefault="007A2736" w:rsidP="007A2736">
      <w:pPr>
        <w:rPr>
          <w:lang w:val="fr-BE"/>
        </w:rPr>
      </w:pPr>
      <w:r w:rsidRPr="00C57832">
        <w:rPr>
          <w:lang w:val="fr-BE"/>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56664DDD" w14:textId="77777777" w:rsidR="007A2736" w:rsidRPr="00C57832" w:rsidRDefault="007A2736" w:rsidP="007A2736">
      <w:pPr>
        <w:rPr>
          <w:lang w:val="fr-BE"/>
        </w:rPr>
      </w:pPr>
      <w:r w:rsidRPr="00C57832">
        <w:rPr>
          <w:lang w:val="fr-BE"/>
        </w:rPr>
        <w:t>L’adjudicataire a droit à des dommages et intérêts pour les suspensions ordonnées par l’adjudicateur dans les conditions cumulatives suivantes :</w:t>
      </w:r>
    </w:p>
    <w:p w14:paraId="2DC5F519" w14:textId="77777777" w:rsidR="007A2736" w:rsidRPr="00C57832" w:rsidRDefault="007A2736" w:rsidP="007A2736">
      <w:pPr>
        <w:rPr>
          <w:lang w:val="fr-BE"/>
        </w:rPr>
      </w:pPr>
      <w:r w:rsidRPr="00C57832">
        <w:rPr>
          <w:lang w:val="fr-BE"/>
        </w:rPr>
        <w:lastRenderedPageBreak/>
        <w:t>1°</w:t>
      </w:r>
      <w:r w:rsidRPr="00C57832">
        <w:rPr>
          <w:lang w:val="fr-BE"/>
        </w:rPr>
        <w:tab/>
        <w:t xml:space="preserve">la suspension dépasse au total un vingtième du délai d’exécution et au moins dix jours ouvrables ou quinze jours de calendrier, selon que le délai d’exécution est exprimé en jours ouvrables ou en jours de </w:t>
      </w:r>
      <w:proofErr w:type="gramStart"/>
      <w:r w:rsidRPr="00C57832">
        <w:rPr>
          <w:lang w:val="fr-BE"/>
        </w:rPr>
        <w:t>calendrier;</w:t>
      </w:r>
      <w:proofErr w:type="gramEnd"/>
    </w:p>
    <w:p w14:paraId="1E588372" w14:textId="77777777" w:rsidR="007A2736" w:rsidRPr="00C57832" w:rsidRDefault="007A2736" w:rsidP="007A2736">
      <w:pPr>
        <w:rPr>
          <w:lang w:val="fr-BE"/>
        </w:rPr>
      </w:pPr>
      <w:r w:rsidRPr="00C57832">
        <w:rPr>
          <w:lang w:val="fr-BE"/>
        </w:rPr>
        <w:t>2°</w:t>
      </w:r>
      <w:r w:rsidRPr="00C57832">
        <w:rPr>
          <w:lang w:val="fr-BE"/>
        </w:rPr>
        <w:tab/>
        <w:t>la suspension n’est pas due à des conditions météorologiques défavorables ;</w:t>
      </w:r>
    </w:p>
    <w:p w14:paraId="44B76B34" w14:textId="77777777" w:rsidR="007A2736" w:rsidRPr="00C57832" w:rsidRDefault="007A2736" w:rsidP="007A2736">
      <w:pPr>
        <w:rPr>
          <w:lang w:val="fr-BE"/>
        </w:rPr>
      </w:pPr>
      <w:r w:rsidRPr="00C57832">
        <w:rPr>
          <w:lang w:val="fr-BE"/>
        </w:rPr>
        <w:t>3° la suspension a lieu endéans le délai d’exécution du marché.</w:t>
      </w:r>
    </w:p>
    <w:p w14:paraId="4B988BF9" w14:textId="77777777" w:rsidR="007A2736" w:rsidRPr="00C57832" w:rsidRDefault="007A2736" w:rsidP="007A2736">
      <w:pPr>
        <w:rPr>
          <w:lang w:val="fr-BE"/>
        </w:rPr>
      </w:pPr>
      <w:r w:rsidRPr="00C57832">
        <w:rPr>
          <w:lang w:val="fr-BE"/>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363EA061" w14:textId="77777777" w:rsidR="007A2736" w:rsidRPr="00C57832" w:rsidRDefault="007A2736" w:rsidP="007A2736">
      <w:pPr>
        <w:rPr>
          <w:lang w:val="fr-BE"/>
        </w:rPr>
      </w:pPr>
      <w:r w:rsidRPr="00C57832">
        <w:rPr>
          <w:lang w:val="fr-BE"/>
        </w:rPr>
        <w:t>Sous peine de déchéance, l’adjudicataire doit transmettre par écrit au pouvoir adjudicateur la justification chiffrée de sa demande dans les délais suivants :</w:t>
      </w:r>
    </w:p>
    <w:p w14:paraId="1B9B89AC" w14:textId="77777777" w:rsidR="007A2736" w:rsidRPr="00C57832" w:rsidRDefault="007A2736" w:rsidP="007A2736">
      <w:pPr>
        <w:rPr>
          <w:lang w:val="fr-BE"/>
        </w:rPr>
      </w:pPr>
      <w:r w:rsidRPr="00C57832">
        <w:rPr>
          <w:lang w:val="fr-BE"/>
        </w:rPr>
        <w:t>1°</w:t>
      </w:r>
      <w:r w:rsidRPr="00C57832">
        <w:rPr>
          <w:lang w:val="fr-BE"/>
        </w:rPr>
        <w:tab/>
        <w:t>avant l’expiration des délais contractuels pour obtenir une prolongation des délais d’exécution ou la résiliation du marché ;</w:t>
      </w:r>
    </w:p>
    <w:p w14:paraId="38FD5C8F" w14:textId="77777777" w:rsidR="007A2736" w:rsidRPr="00C57832" w:rsidRDefault="007A2736" w:rsidP="007A2736">
      <w:pPr>
        <w:rPr>
          <w:lang w:val="fr-BE"/>
        </w:rPr>
      </w:pPr>
      <w:r w:rsidRPr="00C57832">
        <w:rPr>
          <w:lang w:val="fr-BE"/>
        </w:rPr>
        <w:t xml:space="preserve">2° au plus tard nonante jours à compter de la date de la notification à l’adjudicataire du procès-verbal de la réception provisoire du marché, pour obtenir une révision du marché autre que celle visée au 1° ou des dommages et </w:t>
      </w:r>
      <w:proofErr w:type="gramStart"/>
      <w:r w:rsidRPr="00C57832">
        <w:rPr>
          <w:lang w:val="fr-BE"/>
        </w:rPr>
        <w:t>intérêts;</w:t>
      </w:r>
      <w:proofErr w:type="gramEnd"/>
    </w:p>
    <w:p w14:paraId="08E9BED5" w14:textId="6AD4A1F4" w:rsidR="007A2736" w:rsidRPr="00C57832" w:rsidRDefault="007A2736" w:rsidP="007A2736">
      <w:pPr>
        <w:rPr>
          <w:lang w:val="fr-BE"/>
        </w:rPr>
      </w:pPr>
      <w:r w:rsidRPr="00C57832">
        <w:rPr>
          <w:lang w:val="fr-BE"/>
        </w:rPr>
        <w:t>3°</w:t>
      </w:r>
      <w:r w:rsidRPr="00C57832">
        <w:rPr>
          <w:lang w:val="fr-BE"/>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397C7E65" w14:textId="4CA3FD04" w:rsidR="006B4934" w:rsidRPr="00C127EC" w:rsidRDefault="006B4934" w:rsidP="00BB166A">
      <w:pPr>
        <w:pStyle w:val="Titre3"/>
        <w:numPr>
          <w:ilvl w:val="0"/>
          <w:numId w:val="24"/>
        </w:numPr>
        <w:spacing w:after="100" w:afterAutospacing="1"/>
        <w:rPr>
          <w:b/>
          <w:iCs/>
          <w:sz w:val="24"/>
          <w:szCs w:val="28"/>
          <w:lang w:val="fr-BE" w:eastAsia="nl-NL"/>
        </w:rPr>
      </w:pPr>
      <w:bookmarkStart w:id="99" w:name="_Toc513197756"/>
      <w:r w:rsidRPr="00C127EC">
        <w:rPr>
          <w:b/>
          <w:iCs/>
          <w:sz w:val="24"/>
          <w:szCs w:val="28"/>
          <w:lang w:val="fr-BE" w:eastAsia="nl-NL"/>
        </w:rPr>
        <w:t>Facturation et paiement des services</w:t>
      </w:r>
      <w:bookmarkEnd w:id="96"/>
      <w:bookmarkEnd w:id="97"/>
      <w:bookmarkEnd w:id="98"/>
      <w:bookmarkEnd w:id="99"/>
    </w:p>
    <w:p w14:paraId="213072D5" w14:textId="77777777" w:rsidR="00120AB3" w:rsidRPr="00C57832" w:rsidRDefault="00120AB3" w:rsidP="00120AB3">
      <w:pPr>
        <w:spacing w:after="0" w:line="240" w:lineRule="auto"/>
        <w:jc w:val="both"/>
        <w:rPr>
          <w:szCs w:val="18"/>
          <w:lang w:val="fr-BE"/>
        </w:rPr>
      </w:pPr>
    </w:p>
    <w:p w14:paraId="2BE9CC6D" w14:textId="77981A28" w:rsidR="00120AB3" w:rsidRPr="00C57832" w:rsidRDefault="00120AB3" w:rsidP="00120AB3">
      <w:pPr>
        <w:spacing w:after="0" w:line="240" w:lineRule="auto"/>
        <w:jc w:val="both"/>
        <w:rPr>
          <w:szCs w:val="18"/>
          <w:lang w:val="fr-BE"/>
        </w:rPr>
      </w:pPr>
      <w:r w:rsidRPr="00C57832">
        <w:rPr>
          <w:szCs w:val="18"/>
          <w:lang w:val="fr-BE"/>
        </w:rPr>
        <w:t xml:space="preserve">La facturation et le paiement des services s’effectuent selon la procédure décrite sur le site web. </w:t>
      </w:r>
    </w:p>
    <w:p w14:paraId="43544A03" w14:textId="77777777" w:rsidR="00120AB3" w:rsidRPr="00C57832" w:rsidRDefault="00120AB3" w:rsidP="00120AB3">
      <w:pPr>
        <w:spacing w:after="0" w:line="240" w:lineRule="auto"/>
        <w:jc w:val="both"/>
        <w:rPr>
          <w:szCs w:val="18"/>
          <w:lang w:val="fr-BE"/>
        </w:rPr>
      </w:pPr>
    </w:p>
    <w:p w14:paraId="13A83BD2" w14:textId="4CCB5584" w:rsidR="00120AB3" w:rsidRPr="00C57832" w:rsidRDefault="00120AB3" w:rsidP="00120AB3">
      <w:pPr>
        <w:spacing w:after="0" w:line="240" w:lineRule="auto"/>
        <w:jc w:val="both"/>
        <w:rPr>
          <w:szCs w:val="18"/>
          <w:lang w:val="fr-BE"/>
        </w:rPr>
      </w:pPr>
      <w:r w:rsidRPr="00C57832">
        <w:rPr>
          <w:szCs w:val="18"/>
          <w:lang w:val="fr-BE"/>
        </w:rPr>
        <w:t>Les fac</w:t>
      </w:r>
      <w:r w:rsidR="00FB3BF2" w:rsidRPr="00C57832">
        <w:rPr>
          <w:szCs w:val="18"/>
          <w:lang w:val="fr-BE"/>
        </w:rPr>
        <w:t>tures sont établies au nom de</w:t>
      </w:r>
      <w:r w:rsidR="000834B3">
        <w:rPr>
          <w:szCs w:val="18"/>
          <w:lang w:val="fr-BE"/>
        </w:rPr>
        <w:t xml:space="preserve"> </w:t>
      </w:r>
      <w:r w:rsidR="00FB3BF2" w:rsidRPr="000834B3">
        <w:rPr>
          <w:szCs w:val="18"/>
          <w:lang w:val="fr-BE"/>
        </w:rPr>
        <w:t>et</w:t>
      </w:r>
      <w:r w:rsidRPr="00C57832">
        <w:rPr>
          <w:szCs w:val="18"/>
          <w:lang w:val="fr-BE"/>
        </w:rPr>
        <w:t xml:space="preserve"> envoyées à </w:t>
      </w:r>
      <w:proofErr w:type="spellStart"/>
      <w:r w:rsidRPr="00C57832">
        <w:rPr>
          <w:szCs w:val="18"/>
          <w:lang w:val="fr-BE"/>
        </w:rPr>
        <w:t>Fost</w:t>
      </w:r>
      <w:proofErr w:type="spellEnd"/>
      <w:r w:rsidRPr="00C57832">
        <w:rPr>
          <w:szCs w:val="18"/>
          <w:lang w:val="fr-BE"/>
        </w:rPr>
        <w:t xml:space="preserve"> Plus </w:t>
      </w:r>
      <w:proofErr w:type="spellStart"/>
      <w:r w:rsidRPr="00C57832">
        <w:rPr>
          <w:szCs w:val="18"/>
          <w:lang w:val="fr-BE"/>
        </w:rPr>
        <w:t>asbl</w:t>
      </w:r>
      <w:proofErr w:type="spellEnd"/>
      <w:r w:rsidRPr="00C57832">
        <w:rPr>
          <w:szCs w:val="18"/>
          <w:lang w:val="fr-BE"/>
        </w:rPr>
        <w:t xml:space="preserve">, Avenue des Olympiades 2, 1140 Bruxelles, avec le numéro d’entreprise 0447.550.872. </w:t>
      </w:r>
      <w:proofErr w:type="spellStart"/>
      <w:r w:rsidRPr="00C57832">
        <w:rPr>
          <w:szCs w:val="18"/>
          <w:lang w:val="fr-BE"/>
        </w:rPr>
        <w:t>Fost</w:t>
      </w:r>
      <w:proofErr w:type="spellEnd"/>
      <w:r w:rsidRPr="00C57832">
        <w:rPr>
          <w:szCs w:val="18"/>
          <w:lang w:val="fr-BE"/>
        </w:rPr>
        <w:t xml:space="preserve"> Plus paie ces factures dans le cadre du contrat conclu avec le pouvoir adjudicateur.</w:t>
      </w:r>
    </w:p>
    <w:p w14:paraId="380B9BE4" w14:textId="77777777" w:rsidR="00120AB3" w:rsidRPr="00C57832" w:rsidRDefault="00120AB3" w:rsidP="00120AB3">
      <w:pPr>
        <w:spacing w:after="0" w:line="240" w:lineRule="auto"/>
        <w:jc w:val="both"/>
        <w:rPr>
          <w:szCs w:val="18"/>
          <w:lang w:val="fr-BE"/>
        </w:rPr>
      </w:pPr>
    </w:p>
    <w:p w14:paraId="306840F0" w14:textId="77777777" w:rsidR="00120AB3" w:rsidRPr="00C57832" w:rsidRDefault="00120AB3" w:rsidP="00120AB3">
      <w:pPr>
        <w:spacing w:after="0" w:line="240" w:lineRule="auto"/>
        <w:rPr>
          <w:szCs w:val="18"/>
          <w:lang w:val="fr-BE"/>
        </w:rPr>
      </w:pPr>
      <w:r w:rsidRPr="00C57832">
        <w:rPr>
          <w:szCs w:val="18"/>
          <w:lang w:val="fr-BE"/>
        </w:rPr>
        <w:t>Le prestataire de services envoie une facture chaque mois à la clôture mensuelle des données, pour autant qu'il soit satisfait aux conditions nécessaires pour pouvoir établir les factures. Ces conditions sont :</w:t>
      </w:r>
    </w:p>
    <w:p w14:paraId="2A8FF920" w14:textId="77777777" w:rsidR="00120AB3" w:rsidRPr="00C57832" w:rsidRDefault="00120AB3" w:rsidP="00120AB3">
      <w:pPr>
        <w:spacing w:after="0" w:line="240" w:lineRule="auto"/>
        <w:rPr>
          <w:szCs w:val="18"/>
          <w:lang w:val="fr-BE"/>
        </w:rPr>
      </w:pPr>
    </w:p>
    <w:p w14:paraId="70551478" w14:textId="77777777" w:rsidR="00120AB3" w:rsidRPr="00C57832" w:rsidRDefault="00120AB3" w:rsidP="00120AB3">
      <w:pPr>
        <w:pStyle w:val="Listepuces"/>
        <w:rPr>
          <w:lang w:val="fr-BE"/>
        </w:rPr>
      </w:pPr>
      <w:r w:rsidRPr="00C57832">
        <w:rPr>
          <w:lang w:val="fr-BE"/>
        </w:rPr>
        <w:t xml:space="preserve">Le prestataire de services a encodé, complété et validé toutes les données du mois concerné dans l’application en ligne de </w:t>
      </w:r>
      <w:proofErr w:type="spellStart"/>
      <w:r w:rsidRPr="00C57832">
        <w:rPr>
          <w:lang w:val="fr-BE"/>
        </w:rPr>
        <w:t>Fost</w:t>
      </w:r>
      <w:proofErr w:type="spellEnd"/>
      <w:r w:rsidRPr="00C57832">
        <w:rPr>
          <w:lang w:val="fr-BE"/>
        </w:rPr>
        <w:t xml:space="preserve"> Plus. </w:t>
      </w:r>
    </w:p>
    <w:p w14:paraId="0AFF2341" w14:textId="574927C7" w:rsidR="00120AB3" w:rsidRPr="00C57832" w:rsidRDefault="00120AB3" w:rsidP="00120AB3">
      <w:pPr>
        <w:pStyle w:val="Listepuces"/>
        <w:rPr>
          <w:lang w:val="fr-BE"/>
        </w:rPr>
      </w:pPr>
      <w:r w:rsidRPr="00C57832">
        <w:rPr>
          <w:lang w:val="fr-BE"/>
        </w:rPr>
        <w:t>Les bons de livraison facturés ont été validés par toutes les parties dans l’application en ligne.</w:t>
      </w:r>
    </w:p>
    <w:p w14:paraId="1CAC9DB9" w14:textId="77777777" w:rsidR="00120AB3" w:rsidRPr="00C57832" w:rsidRDefault="00120AB3">
      <w:pPr>
        <w:rPr>
          <w:lang w:val="fr-BE"/>
        </w:rPr>
      </w:pPr>
    </w:p>
    <w:p w14:paraId="0C366FE4" w14:textId="3A9C1D04" w:rsidR="00120AB3" w:rsidRPr="00C57832" w:rsidRDefault="006B4934">
      <w:pPr>
        <w:rPr>
          <w:szCs w:val="18"/>
          <w:lang w:val="fr-BE"/>
        </w:rPr>
      </w:pPr>
      <w:r w:rsidRPr="00C57832">
        <w:rPr>
          <w:lang w:val="fr-BE"/>
        </w:rPr>
        <w:t xml:space="preserve">Les factures ne peuvent être basées que sur les quantités effectivement fournies au </w:t>
      </w:r>
      <w:r w:rsidR="00120AB3" w:rsidRPr="00C57832">
        <w:rPr>
          <w:lang w:val="fr-BE"/>
        </w:rPr>
        <w:t>destinataire du PMC</w:t>
      </w:r>
      <w:r w:rsidRPr="00C57832">
        <w:rPr>
          <w:lang w:val="fr-BE"/>
        </w:rPr>
        <w:t xml:space="preserve"> et non pas sur les quantités collectées pendant le mois M (M est le mois pendant lequel les prestations ont été effectuées). </w:t>
      </w:r>
      <w:r w:rsidR="00120AB3" w:rsidRPr="00C57832">
        <w:rPr>
          <w:szCs w:val="18"/>
          <w:lang w:val="fr-BE"/>
        </w:rPr>
        <w:t xml:space="preserve">Toutes les factures qui concernent le présent Marché doivent contenir au moins toutes les mentions légales obligatoires, ainsi qu’une ou plusieurs mentions communiquées par </w:t>
      </w:r>
      <w:proofErr w:type="spellStart"/>
      <w:r w:rsidR="00120AB3" w:rsidRPr="00C57832">
        <w:rPr>
          <w:szCs w:val="18"/>
          <w:lang w:val="fr-BE"/>
        </w:rPr>
        <w:t>Fost</w:t>
      </w:r>
      <w:proofErr w:type="spellEnd"/>
      <w:r w:rsidR="00120AB3" w:rsidRPr="00C57832">
        <w:rPr>
          <w:szCs w:val="18"/>
          <w:lang w:val="fr-BE"/>
        </w:rPr>
        <w:t xml:space="preserve"> Plus.</w:t>
      </w:r>
    </w:p>
    <w:p w14:paraId="397C7E71" w14:textId="4F445903" w:rsidR="006B4934" w:rsidRPr="00C57832" w:rsidRDefault="006B4934" w:rsidP="00FD4339">
      <w:pPr>
        <w:spacing w:after="0"/>
        <w:rPr>
          <w:lang w:val="fr-BE"/>
        </w:rPr>
      </w:pPr>
    </w:p>
    <w:p w14:paraId="397C7E72" w14:textId="7C4D0853" w:rsidR="006B4934" w:rsidRPr="00C57832" w:rsidRDefault="006B4934">
      <w:pPr>
        <w:rPr>
          <w:lang w:val="fr-BE"/>
        </w:rPr>
      </w:pPr>
      <w:r w:rsidRPr="00C57832">
        <w:rPr>
          <w:lang w:val="fr-BE"/>
        </w:rPr>
        <w:t xml:space="preserve">Si plusieurs prestations sont regroupées sur une seule facture, chaque prestation doit être clairement définie sur la facture ou dans une annexe à la facture. </w:t>
      </w:r>
      <w:r w:rsidR="00120AB3" w:rsidRPr="00C57832">
        <w:rPr>
          <w:lang w:val="fr-BE"/>
        </w:rPr>
        <w:t xml:space="preserve">En tout cas, </w:t>
      </w:r>
      <w:r w:rsidR="00120AB3" w:rsidRPr="00C57832">
        <w:rPr>
          <w:szCs w:val="18"/>
          <w:lang w:val="fr-BE"/>
        </w:rPr>
        <w:t xml:space="preserve">il faut </w:t>
      </w:r>
      <w:r w:rsidRPr="00C57832">
        <w:rPr>
          <w:lang w:val="fr-BE"/>
        </w:rPr>
        <w:t>pouvoir facilement et rapidement ventiler le montant total de la facture, soit sur la base de la facture, soit sur la base de son (ses) éventuelle(s) annexe(s).</w:t>
      </w:r>
    </w:p>
    <w:p w14:paraId="1DD3933B" w14:textId="08D50EDB" w:rsidR="00CD040F" w:rsidRPr="00C57832" w:rsidRDefault="000064CE" w:rsidP="00CD040F">
      <w:pPr>
        <w:jc w:val="both"/>
        <w:rPr>
          <w:szCs w:val="18"/>
          <w:lang w:val="fr-BE"/>
        </w:rPr>
      </w:pPr>
      <w:r w:rsidRPr="00F6562C">
        <w:rPr>
          <w:szCs w:val="18"/>
          <w:lang w:val="fr-BE"/>
        </w:rPr>
        <w:lastRenderedPageBreak/>
        <w:t>L</w:t>
      </w:r>
      <w:r w:rsidR="00F6612F" w:rsidRPr="00F6562C">
        <w:rPr>
          <w:szCs w:val="18"/>
          <w:lang w:val="fr-BE"/>
        </w:rPr>
        <w:t>e</w:t>
      </w:r>
      <w:r w:rsidRPr="00F6562C">
        <w:rPr>
          <w:szCs w:val="18"/>
          <w:lang w:val="fr-BE"/>
        </w:rPr>
        <w:t>s</w:t>
      </w:r>
      <w:r w:rsidR="00F6612F" w:rsidRPr="00F6562C">
        <w:rPr>
          <w:szCs w:val="18"/>
          <w:lang w:val="fr-BE"/>
        </w:rPr>
        <w:t xml:space="preserve"> facture</w:t>
      </w:r>
      <w:r w:rsidRPr="00F6562C">
        <w:rPr>
          <w:szCs w:val="18"/>
          <w:lang w:val="fr-BE"/>
        </w:rPr>
        <w:t xml:space="preserve">s seront payées par </w:t>
      </w:r>
      <w:proofErr w:type="spellStart"/>
      <w:r w:rsidR="00F6612F" w:rsidRPr="00F6562C">
        <w:rPr>
          <w:szCs w:val="18"/>
          <w:lang w:val="fr-BE"/>
        </w:rPr>
        <w:t>Fost</w:t>
      </w:r>
      <w:proofErr w:type="spellEnd"/>
      <w:r w:rsidR="00F6612F" w:rsidRPr="00F6562C">
        <w:rPr>
          <w:szCs w:val="18"/>
          <w:lang w:val="fr-BE"/>
        </w:rPr>
        <w:t xml:space="preserve"> Plus</w:t>
      </w:r>
      <w:r w:rsidR="00671222" w:rsidRPr="00F6562C">
        <w:rPr>
          <w:lang w:val="fr-BE"/>
        </w:rPr>
        <w:t>,</w:t>
      </w:r>
      <w:r w:rsidR="006B4934" w:rsidRPr="00F6562C">
        <w:rPr>
          <w:lang w:val="fr-BE"/>
        </w:rPr>
        <w:t xml:space="preserve"> dans un délai de trente jours fin de mois</w:t>
      </w:r>
      <w:r w:rsidR="007E16ED" w:rsidRPr="00F6562C">
        <w:rPr>
          <w:lang w:val="fr-BE"/>
        </w:rPr>
        <w:t>,</w:t>
      </w:r>
      <w:r w:rsidR="006E37B8" w:rsidRPr="00F6562C">
        <w:rPr>
          <w:lang w:val="fr-FR"/>
        </w:rPr>
        <w:t xml:space="preserve"> à dater de la réception des factures par </w:t>
      </w:r>
      <w:proofErr w:type="spellStart"/>
      <w:r w:rsidR="006E37B8" w:rsidRPr="00F6562C">
        <w:rPr>
          <w:lang w:val="fr-FR"/>
        </w:rPr>
        <w:t>Fost</w:t>
      </w:r>
      <w:proofErr w:type="spellEnd"/>
      <w:r w:rsidR="006E37B8" w:rsidRPr="00F6562C">
        <w:rPr>
          <w:lang w:val="fr-FR"/>
        </w:rPr>
        <w:t xml:space="preserve"> Plus,</w:t>
      </w:r>
      <w:r w:rsidR="00F6612F" w:rsidRPr="00F6562C">
        <w:rPr>
          <w:lang w:val="fr-BE"/>
        </w:rPr>
        <w:t xml:space="preserve"> </w:t>
      </w:r>
      <w:r w:rsidR="006B4934" w:rsidRPr="00F6562C">
        <w:rPr>
          <w:lang w:val="fr-BE"/>
        </w:rPr>
        <w:t>pour autant que les factures soient correctes et que toutes les données</w:t>
      </w:r>
      <w:r w:rsidR="00CD040F" w:rsidRPr="00F6562C">
        <w:rPr>
          <w:lang w:val="fr-BE"/>
        </w:rPr>
        <w:t xml:space="preserve"> </w:t>
      </w:r>
      <w:r w:rsidR="00CD040F" w:rsidRPr="00F6562C">
        <w:rPr>
          <w:szCs w:val="18"/>
          <w:lang w:val="fr-BE"/>
        </w:rPr>
        <w:t>ont été validées dans l’application en ligne par toutes les parties dans le délai fixé. Si l’une des parties a des remarques concernant la facturation, elle en informe les autres parties par écrit</w:t>
      </w:r>
      <w:r w:rsidR="0028158C" w:rsidRPr="00F6562C">
        <w:rPr>
          <w:szCs w:val="18"/>
          <w:lang w:val="fr-BE"/>
        </w:rPr>
        <w:t xml:space="preserve"> endéans les </w:t>
      </w:r>
      <w:r w:rsidR="0028158C" w:rsidRPr="00F6562C">
        <w:rPr>
          <w:szCs w:val="18"/>
          <w:highlight w:val="lightGray"/>
          <w:lang w:val="fr-BE"/>
        </w:rPr>
        <w:t>X</w:t>
      </w:r>
      <w:r w:rsidR="0028158C" w:rsidRPr="00F6562C">
        <w:rPr>
          <w:szCs w:val="18"/>
          <w:lang w:val="fr-BE"/>
        </w:rPr>
        <w:t xml:space="preserve"> jours </w:t>
      </w:r>
      <w:r w:rsidR="00732D72" w:rsidRPr="00F6562C">
        <w:rPr>
          <w:szCs w:val="18"/>
          <w:lang w:val="fr-BE"/>
        </w:rPr>
        <w:t>calendaires</w:t>
      </w:r>
      <w:r w:rsidR="00CD040F" w:rsidRPr="00C57832">
        <w:rPr>
          <w:szCs w:val="18"/>
          <w:lang w:val="fr-BE"/>
        </w:rPr>
        <w:t>. Après les modifications nécessaires dans l’application en ligne, une correction est réalisée (note de crédit ou facture supplémentaire)</w:t>
      </w:r>
      <w:r w:rsidR="006B4934" w:rsidRPr="00C57832">
        <w:rPr>
          <w:lang w:val="fr-BE"/>
        </w:rPr>
        <w:t xml:space="preserve">. Même les factures approuvées et payées peuvent faire l'objet de corrections dues à des litiges résolus entre les différentes parties en ce qui concerne les tonnages ou suite à des anomalies découvertes lors des contrôles effectués. </w:t>
      </w:r>
      <w:r w:rsidR="00CD040F" w:rsidRPr="00C57832">
        <w:rPr>
          <w:szCs w:val="18"/>
          <w:lang w:val="fr-BE"/>
        </w:rPr>
        <w:t>Les factures libellées au nom du pouvoir adjudicateur seront, quant à elles, payées au terme des délais légaux de facturation.</w:t>
      </w:r>
    </w:p>
    <w:p w14:paraId="397C7E7A" w14:textId="5BEB73F1" w:rsidR="0004612C" w:rsidRPr="00C57832" w:rsidRDefault="006B4934" w:rsidP="00D44D75">
      <w:pPr>
        <w:rPr>
          <w:lang w:val="fr-BE" w:eastAsia="nl-NL"/>
        </w:rPr>
      </w:pPr>
      <w:r w:rsidRPr="00C57832">
        <w:rPr>
          <w:lang w:val="fr-BE"/>
        </w:rPr>
        <w:t xml:space="preserve">Les éventuelles amendes </w:t>
      </w:r>
      <w:r w:rsidR="00901D23" w:rsidRPr="00C57832">
        <w:rPr>
          <w:lang w:val="fr-BE"/>
        </w:rPr>
        <w:t>f</w:t>
      </w:r>
      <w:r w:rsidR="006D693F" w:rsidRPr="00C57832">
        <w:rPr>
          <w:lang w:val="fr-BE"/>
        </w:rPr>
        <w:t>er</w:t>
      </w:r>
      <w:r w:rsidR="00901D23" w:rsidRPr="00C57832">
        <w:rPr>
          <w:lang w:val="fr-BE"/>
        </w:rPr>
        <w:t>ont l’objet d’une facturation séparée</w:t>
      </w:r>
      <w:r w:rsidR="006D693F" w:rsidRPr="00C57832">
        <w:rPr>
          <w:lang w:val="fr-BE"/>
        </w:rPr>
        <w:t xml:space="preserve"> par le pouvoir adjudicateur ou </w:t>
      </w:r>
      <w:proofErr w:type="spellStart"/>
      <w:r w:rsidR="006D693F" w:rsidRPr="00C57832">
        <w:rPr>
          <w:lang w:val="fr-BE"/>
        </w:rPr>
        <w:t>Fost</w:t>
      </w:r>
      <w:proofErr w:type="spellEnd"/>
      <w:r w:rsidR="006D693F" w:rsidRPr="00C57832">
        <w:rPr>
          <w:lang w:val="fr-BE"/>
        </w:rPr>
        <w:t xml:space="preserve"> Plus, en fonction de la partie qui constate le manquement</w:t>
      </w:r>
      <w:r w:rsidR="00DB2EB2" w:rsidRPr="00C57832">
        <w:rPr>
          <w:lang w:val="fr-BE"/>
        </w:rPr>
        <w:t xml:space="preserve"> d’une disposition du présent cahier des charges</w:t>
      </w:r>
      <w:r w:rsidR="006D693F" w:rsidRPr="00C57832">
        <w:rPr>
          <w:lang w:val="fr-BE"/>
        </w:rPr>
        <w:t xml:space="preserve">. Chaque infraction ne peut faire l’objet que d’une seule amende. </w:t>
      </w:r>
      <w:bookmarkStart w:id="100" w:name="_Toc200945516"/>
      <w:bookmarkStart w:id="101" w:name="_Toc201025147"/>
      <w:bookmarkStart w:id="102" w:name="_Toc201587454"/>
    </w:p>
    <w:p w14:paraId="2981F925" w14:textId="63CDF4D1" w:rsidR="003D7A5A" w:rsidRPr="00C127EC" w:rsidRDefault="003D7A5A" w:rsidP="00BB166A">
      <w:pPr>
        <w:pStyle w:val="Titre3"/>
        <w:numPr>
          <w:ilvl w:val="0"/>
          <w:numId w:val="24"/>
        </w:numPr>
        <w:spacing w:after="100" w:afterAutospacing="1"/>
        <w:rPr>
          <w:b/>
          <w:iCs/>
          <w:sz w:val="24"/>
          <w:szCs w:val="28"/>
          <w:lang w:val="fr-BE" w:eastAsia="nl-NL"/>
        </w:rPr>
      </w:pPr>
      <w:bookmarkStart w:id="103" w:name="_Toc513197757"/>
      <w:r w:rsidRPr="00C127EC">
        <w:rPr>
          <w:b/>
          <w:iCs/>
          <w:sz w:val="24"/>
          <w:szCs w:val="28"/>
          <w:lang w:val="fr-BE" w:eastAsia="nl-NL"/>
        </w:rPr>
        <w:t>Responsabilité du prestataire de services</w:t>
      </w:r>
    </w:p>
    <w:p w14:paraId="77C87E37" w14:textId="77777777" w:rsidR="003D7A5A" w:rsidRPr="00C57832" w:rsidRDefault="003D7A5A" w:rsidP="00E00E32">
      <w:pPr>
        <w:rPr>
          <w:lang w:val="fr-BE" w:eastAsia="nl-NL"/>
        </w:rPr>
      </w:pPr>
      <w:r w:rsidRPr="00C57832">
        <w:rPr>
          <w:lang w:val="fr-BE" w:eastAsia="nl-NL"/>
        </w:rPr>
        <w:t xml:space="preserve">Le prestataire de services assume la pleine responsabilité des fautes et manquements présentés dans les services fournis. </w:t>
      </w:r>
    </w:p>
    <w:p w14:paraId="4F5C4B2C" w14:textId="3348FD33" w:rsidR="003D7A5A" w:rsidRPr="00C57832" w:rsidRDefault="003D7A5A" w:rsidP="00E00E32">
      <w:pPr>
        <w:rPr>
          <w:lang w:val="fr-BE" w:eastAsia="nl-NL"/>
        </w:rPr>
      </w:pPr>
      <w:r w:rsidRPr="00C57832">
        <w:rPr>
          <w:lang w:val="fr-BE" w:eastAsia="nl-NL"/>
        </w:rPr>
        <w:t>Par ailleurs, le prestataire de services garantit le pouvoir adjudicateur des dommages et intérêts dont celui-ci est redevable à des tiers du fait du retard dans l’exécution des services ou de la défaillance du prestataire de services.</w:t>
      </w:r>
    </w:p>
    <w:p w14:paraId="2A60A2E8" w14:textId="0334BBF2" w:rsidR="003D7A5A" w:rsidRPr="00C127EC" w:rsidRDefault="003D7A5A" w:rsidP="00BB166A">
      <w:pPr>
        <w:pStyle w:val="Titre3"/>
        <w:numPr>
          <w:ilvl w:val="1"/>
          <w:numId w:val="24"/>
        </w:numPr>
        <w:spacing w:after="100" w:afterAutospacing="1"/>
        <w:rPr>
          <w:sz w:val="24"/>
          <w:szCs w:val="24"/>
          <w:lang w:val="fr-BE" w:eastAsia="nl-NL"/>
        </w:rPr>
      </w:pPr>
      <w:r w:rsidRPr="00C127EC">
        <w:rPr>
          <w:sz w:val="24"/>
          <w:szCs w:val="24"/>
          <w:lang w:val="fr-BE" w:eastAsia="nl-NL"/>
        </w:rPr>
        <w:t>Engagements particuliers pour le prestataire de services</w:t>
      </w:r>
    </w:p>
    <w:p w14:paraId="58565B59" w14:textId="49FD79EB" w:rsidR="003D7A5A" w:rsidRPr="00923691" w:rsidRDefault="003D7A5A" w:rsidP="003D7A5A">
      <w:pPr>
        <w:rPr>
          <w:rFonts w:cs="Arial"/>
          <w:bCs/>
          <w:szCs w:val="18"/>
          <w:lang w:val="fr-BE" w:eastAsia="nl-NL"/>
        </w:rPr>
      </w:pPr>
      <w:r w:rsidRPr="00923691">
        <w:rPr>
          <w:rFonts w:cs="Arial"/>
          <w:bCs/>
          <w:szCs w:val="18"/>
          <w:lang w:val="fr-BE" w:eastAsia="nl-NL"/>
        </w:rPr>
        <w:t xml:space="preserve">Le prestataire de services et ses collaborateurs sont liés par un devoir de discrétion concernant les informations dont ils ont connaissance lors de l’exécution de ce marché. Ces informations ne peuvent en aucun cas être communiquées à des tiers sans l’autorisation écrite du pouvoir adjudicateur et de </w:t>
      </w:r>
      <w:proofErr w:type="spellStart"/>
      <w:r w:rsidRPr="00923691">
        <w:rPr>
          <w:rFonts w:cs="Arial"/>
          <w:bCs/>
          <w:szCs w:val="18"/>
          <w:lang w:val="fr-BE" w:eastAsia="nl-NL"/>
        </w:rPr>
        <w:t>Fost</w:t>
      </w:r>
      <w:proofErr w:type="spellEnd"/>
      <w:r w:rsidRPr="00923691">
        <w:rPr>
          <w:rFonts w:cs="Arial"/>
          <w:bCs/>
          <w:szCs w:val="18"/>
          <w:lang w:val="fr-BE" w:eastAsia="nl-NL"/>
        </w:rPr>
        <w:t xml:space="preserve"> Plus. Le prestataire de services peut toutefois faire mention de ce marché en tant que référence.</w:t>
      </w:r>
    </w:p>
    <w:p w14:paraId="03FB4099" w14:textId="77777777" w:rsidR="003D7A5A" w:rsidRPr="00923691" w:rsidRDefault="003D7A5A" w:rsidP="003D7A5A">
      <w:pPr>
        <w:rPr>
          <w:rFonts w:cs="Arial"/>
          <w:bCs/>
          <w:szCs w:val="18"/>
          <w:lang w:val="fr-BE" w:eastAsia="nl-NL"/>
        </w:rPr>
      </w:pPr>
    </w:p>
    <w:p w14:paraId="1226650C" w14:textId="6DA7D97E" w:rsidR="003D7A5A" w:rsidRPr="00923691" w:rsidRDefault="003D7A5A" w:rsidP="00E00E32">
      <w:pPr>
        <w:rPr>
          <w:szCs w:val="18"/>
          <w:lang w:val="fr-BE" w:eastAsia="nl-NL"/>
        </w:rPr>
      </w:pPr>
      <w:r w:rsidRPr="00923691">
        <w:rPr>
          <w:rFonts w:cs="Arial"/>
          <w:bCs/>
          <w:szCs w:val="18"/>
          <w:lang w:val="fr-BE" w:eastAsia="nl-NL"/>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B4FABE3" w14:textId="3FB2B99D" w:rsidR="003D7A5A" w:rsidRPr="00923691" w:rsidRDefault="003D7A5A" w:rsidP="00E00E32">
      <w:pPr>
        <w:rPr>
          <w:szCs w:val="18"/>
          <w:lang w:val="fr-BE" w:eastAsia="nl-NL"/>
        </w:rPr>
      </w:pPr>
    </w:p>
    <w:p w14:paraId="1CB45FA8" w14:textId="77777777" w:rsidR="003D7A5A" w:rsidRPr="00923691" w:rsidRDefault="003D7A5A" w:rsidP="003D7A5A">
      <w:pPr>
        <w:rPr>
          <w:rFonts w:cs="Arial"/>
          <w:bCs/>
          <w:szCs w:val="18"/>
          <w:lang w:val="fr-BE" w:eastAsia="nl-NL"/>
        </w:rPr>
      </w:pPr>
      <w:r w:rsidRPr="00923691">
        <w:rPr>
          <w:rFonts w:cs="Arial"/>
          <w:bCs/>
          <w:szCs w:val="18"/>
          <w:lang w:val="fr-BE" w:eastAsia="nl-NL"/>
        </w:rPr>
        <w:t xml:space="preserve">A cet égard, le prestataire de services s’engage à sauvegarder, défendre et indemniser le pouvoir adjudicateur et </w:t>
      </w:r>
      <w:proofErr w:type="spellStart"/>
      <w:r w:rsidRPr="00923691">
        <w:rPr>
          <w:rFonts w:cs="Arial"/>
          <w:bCs/>
          <w:szCs w:val="18"/>
          <w:lang w:val="fr-BE" w:eastAsia="nl-NL"/>
        </w:rPr>
        <w:t>Fost</w:t>
      </w:r>
      <w:proofErr w:type="spellEnd"/>
      <w:r w:rsidRPr="00923691">
        <w:rPr>
          <w:rFonts w:cs="Arial"/>
          <w:bCs/>
          <w:szCs w:val="18"/>
          <w:lang w:val="fr-BE" w:eastAsia="nl-NL"/>
        </w:rPr>
        <w:t xml:space="preserve"> Plus de tous frais, pertes, dommages, responsabilités, revendications et litiges, quelle qu’en soit la nature, subis ou encourus dans le cadre de ses activités, et celles de ses éventuels sous-traitants, y compris la (les) station(s) de transfert, liées à l’exécution du présent Marché.</w:t>
      </w:r>
    </w:p>
    <w:p w14:paraId="4EC675F1" w14:textId="77777777" w:rsidR="003D7A5A" w:rsidRPr="00923691" w:rsidRDefault="003D7A5A" w:rsidP="003D7A5A">
      <w:pPr>
        <w:rPr>
          <w:rFonts w:cs="Arial"/>
          <w:bCs/>
          <w:szCs w:val="18"/>
          <w:lang w:val="fr-BE" w:eastAsia="nl-NL"/>
        </w:rPr>
      </w:pPr>
    </w:p>
    <w:p w14:paraId="2EA77B17" w14:textId="77777777" w:rsidR="003D7A5A" w:rsidRPr="00923691" w:rsidRDefault="003D7A5A" w:rsidP="003D7A5A">
      <w:pPr>
        <w:rPr>
          <w:rFonts w:cs="Arial"/>
          <w:bCs/>
          <w:szCs w:val="18"/>
          <w:lang w:val="fr-BE" w:eastAsia="nl-NL"/>
        </w:rPr>
      </w:pPr>
      <w:r w:rsidRPr="00923691">
        <w:rPr>
          <w:rFonts w:cs="Arial"/>
          <w:bCs/>
          <w:szCs w:val="18"/>
          <w:lang w:val="fr-BE" w:eastAsia="nl-NL"/>
        </w:rPr>
        <w:t>Le prestataire de services s’engage dès l’attribution du Marché, compte tenu des risques liés à l’exécution du présent Marché, à contracter une assurance adéquate couvrant les dommages qu’il pourrait subir ou faire subir à des tiers du fait de ses activités. Il est obligé de tenir cette assurance en ordre et la renouveler si besoin. A cet égard, la mise à disposition vis-à-vis de l’acquéreur de verre, dans le cadre du présent Marché, doit être considérée comme une obligation de résultat dans le chef du soumissionnaire. Le non-respect de cette obligation de résultat donnera lieu à une indemnisation complète des dommages subis par des tiers et/ou par le pouvoir adjudicateur.</w:t>
      </w:r>
    </w:p>
    <w:p w14:paraId="6A29E158" w14:textId="77777777" w:rsidR="003D7A5A" w:rsidRPr="00923691" w:rsidRDefault="003D7A5A" w:rsidP="003D7A5A">
      <w:pPr>
        <w:rPr>
          <w:rFonts w:cs="Arial"/>
          <w:bCs/>
          <w:szCs w:val="18"/>
          <w:lang w:val="fr-BE" w:eastAsia="nl-NL"/>
        </w:rPr>
      </w:pPr>
    </w:p>
    <w:p w14:paraId="63B6CB74" w14:textId="77777777" w:rsidR="003D7A5A" w:rsidRPr="00923691" w:rsidRDefault="003D7A5A" w:rsidP="003D7A5A">
      <w:pPr>
        <w:rPr>
          <w:rFonts w:cs="Arial"/>
          <w:bCs/>
          <w:szCs w:val="18"/>
          <w:lang w:val="fr-BE" w:eastAsia="nl-NL"/>
        </w:rPr>
      </w:pPr>
      <w:r w:rsidRPr="00923691">
        <w:rPr>
          <w:rFonts w:cs="Arial"/>
          <w:bCs/>
          <w:szCs w:val="18"/>
          <w:lang w:val="fr-BE" w:eastAsia="nl-NL"/>
        </w:rPr>
        <w:lastRenderedPageBreak/>
        <w:t>Le prestataire de services fournira au pouvoir adjudicateur, sur simple demande, une copie des polices d’assurance souscrites dans ce cadre, et précisera les risques couverts.</w:t>
      </w:r>
    </w:p>
    <w:p w14:paraId="76A7FCDA" w14:textId="77777777" w:rsidR="003D7A5A" w:rsidRPr="00923691" w:rsidRDefault="003D7A5A" w:rsidP="003D7A5A">
      <w:pPr>
        <w:rPr>
          <w:rFonts w:cs="Arial"/>
          <w:bCs/>
          <w:szCs w:val="18"/>
          <w:lang w:val="fr-BE" w:eastAsia="nl-NL"/>
        </w:rPr>
      </w:pPr>
    </w:p>
    <w:p w14:paraId="259C1DA0" w14:textId="77777777" w:rsidR="003D7A5A" w:rsidRPr="00923691" w:rsidRDefault="003D7A5A" w:rsidP="003D7A5A">
      <w:pPr>
        <w:rPr>
          <w:rFonts w:cs="Arial"/>
          <w:bCs/>
          <w:szCs w:val="18"/>
          <w:lang w:val="fr-BE" w:eastAsia="nl-NL"/>
        </w:rPr>
      </w:pPr>
      <w:r w:rsidRPr="00923691">
        <w:rPr>
          <w:rFonts w:cs="Arial"/>
          <w:bCs/>
          <w:szCs w:val="18"/>
          <w:lang w:val="fr-BE" w:eastAsia="nl-NL"/>
        </w:rPr>
        <w:t>Le prestataire de services est tenu de payer régulièrement à leur date d’échéance les primes d’assurance qui lui incombent conformément aux polices d’assurance telles que mentionnées ci-après. Le prestataire de services devra en présenter une preuve de paiement au pouvoir adjudicateur dès que celui-ci en fera la demande. Les polices d’assurance contractées par le prestataire de services stipuleront qu’aucune modification de la police, qu’aucune résiliation de celle-ci, qu’aucune suspension de la couverture ne pourra être appliquée à moins que l’assureur n’avertisse le pouvoir adjudicateur de ladite mesure au minimum un mois au préalable.</w:t>
      </w:r>
    </w:p>
    <w:p w14:paraId="46878BD5" w14:textId="71294249" w:rsidR="003D7A5A" w:rsidRPr="00923691" w:rsidRDefault="003D7A5A" w:rsidP="00E00E32">
      <w:pPr>
        <w:rPr>
          <w:szCs w:val="18"/>
          <w:lang w:val="fr-BE" w:eastAsia="nl-NL"/>
        </w:rPr>
      </w:pPr>
      <w:r w:rsidRPr="00923691">
        <w:rPr>
          <w:rFonts w:cs="Arial"/>
          <w:bCs/>
          <w:szCs w:val="18"/>
          <w:lang w:val="fr-BE" w:eastAsia="nl-NL"/>
        </w:rPr>
        <w:t xml:space="preserve">Le soumissionnaire s’engage par la présente à avertir, dans les 24 heures, le pouvoir adjudicateur ainsi que </w:t>
      </w:r>
      <w:proofErr w:type="spellStart"/>
      <w:r w:rsidRPr="00923691">
        <w:rPr>
          <w:rFonts w:cs="Arial"/>
          <w:bCs/>
          <w:szCs w:val="18"/>
          <w:lang w:val="fr-BE" w:eastAsia="nl-NL"/>
        </w:rPr>
        <w:t>Fost</w:t>
      </w:r>
      <w:proofErr w:type="spellEnd"/>
      <w:r w:rsidRPr="00923691">
        <w:rPr>
          <w:rFonts w:cs="Arial"/>
          <w:bCs/>
          <w:szCs w:val="18"/>
          <w:lang w:val="fr-BE" w:eastAsia="nl-NL"/>
        </w:rPr>
        <w:t xml:space="preserve"> Plus de tout sinistre relatif à l’exécution du présent Marché.</w:t>
      </w:r>
    </w:p>
    <w:bookmarkEnd w:id="100"/>
    <w:bookmarkEnd w:id="101"/>
    <w:bookmarkEnd w:id="102"/>
    <w:bookmarkEnd w:id="103"/>
    <w:p w14:paraId="5C701477" w14:textId="501ADC8D" w:rsidR="00F160F0" w:rsidRPr="00C57832" w:rsidRDefault="00F160F0" w:rsidP="00F160F0">
      <w:pPr>
        <w:rPr>
          <w:lang w:val="fr-BE"/>
        </w:rPr>
      </w:pPr>
      <w:r w:rsidRPr="00C57832">
        <w:rPr>
          <w:lang w:val="fr-BE"/>
        </w:rPr>
        <w:t>Conformément aux obligations qui lui sont imposée</w:t>
      </w:r>
      <w:r w:rsidR="00EE2521" w:rsidRPr="00C57832">
        <w:rPr>
          <w:lang w:val="fr-BE"/>
        </w:rPr>
        <w:t>s</w:t>
      </w:r>
      <w:r w:rsidRPr="00C57832">
        <w:rPr>
          <w:lang w:val="fr-BE"/>
        </w:rPr>
        <w:t xml:space="preserve"> au travers de son agrément et notamment celle de disposer de tarifs Point Vert basés, entre autres, sur une allocation pour chaque matériau des couts de collecte et de tri, </w:t>
      </w:r>
      <w:proofErr w:type="spellStart"/>
      <w:r w:rsidRPr="00C57832">
        <w:rPr>
          <w:lang w:val="fr-BE"/>
        </w:rPr>
        <w:t>Fost</w:t>
      </w:r>
      <w:proofErr w:type="spellEnd"/>
      <w:r w:rsidRPr="00C57832">
        <w:rPr>
          <w:lang w:val="fr-BE"/>
        </w:rPr>
        <w:t xml:space="preserve"> Plus a la possibilité de mandater un auditeur afin que celui-ci définisse, sur base de la structure de cou</w:t>
      </w:r>
      <w:r w:rsidR="008F1E5D" w:rsidRPr="00C57832">
        <w:rPr>
          <w:lang w:val="fr-BE"/>
        </w:rPr>
        <w:t xml:space="preserve">ts du </w:t>
      </w:r>
      <w:r w:rsidR="008F1E5D" w:rsidRPr="00C57832">
        <w:rPr>
          <w:rFonts w:eastAsia="Times New Roman"/>
          <w:snapToGrid w:val="0"/>
          <w:szCs w:val="18"/>
          <w:lang w:val="fr-BE" w:eastAsia="en-US"/>
        </w:rPr>
        <w:t>prestataire de service</w:t>
      </w:r>
      <w:r w:rsidR="00C47EA0" w:rsidRPr="00C57832">
        <w:rPr>
          <w:lang w:val="fr-BE"/>
        </w:rPr>
        <w:t>, la clé de répartition en pourcentage</w:t>
      </w:r>
      <w:r w:rsidRPr="00C57832">
        <w:rPr>
          <w:lang w:val="fr-BE"/>
        </w:rPr>
        <w:t xml:space="preserve"> du cout de tri sur chaque matériau. A ce titre, </w:t>
      </w:r>
      <w:r w:rsidR="008F1E5D" w:rsidRPr="00C57832">
        <w:rPr>
          <w:rFonts w:eastAsia="Times New Roman"/>
          <w:snapToGrid w:val="0"/>
          <w:szCs w:val="18"/>
          <w:lang w:val="fr-BE" w:eastAsia="en-US"/>
        </w:rPr>
        <w:t xml:space="preserve">le prestataire de service </w:t>
      </w:r>
      <w:r w:rsidRPr="00C57832">
        <w:rPr>
          <w:lang w:val="fr-BE"/>
        </w:rPr>
        <w:t>devra être prêt à partager les informations nécessaires avec l’auditeur mandaté. L’auditeur mandaté ne pourra pas refuser de conclure un Accord de confidentialité avec l’opérateur impliqué.</w:t>
      </w:r>
    </w:p>
    <w:p w14:paraId="52CE0174" w14:textId="3716C6BB" w:rsidR="00F160F0" w:rsidRPr="00C57832" w:rsidRDefault="00C47EA0" w:rsidP="00F160F0">
      <w:pPr>
        <w:rPr>
          <w:lang w:val="fr-BE"/>
        </w:rPr>
      </w:pPr>
      <w:r w:rsidRPr="00C57832">
        <w:rPr>
          <w:lang w:val="fr-BE"/>
        </w:rPr>
        <w:t>Seule une ventilation en pourcentage</w:t>
      </w:r>
      <w:r w:rsidR="00F160F0" w:rsidRPr="00C57832">
        <w:rPr>
          <w:lang w:val="fr-BE"/>
        </w:rPr>
        <w:t xml:space="preserve"> du cout de tri par matériau sera remise à </w:t>
      </w:r>
      <w:proofErr w:type="spellStart"/>
      <w:r w:rsidR="00F160F0" w:rsidRPr="00C57832">
        <w:rPr>
          <w:lang w:val="fr-BE"/>
        </w:rPr>
        <w:t>Fost</w:t>
      </w:r>
      <w:proofErr w:type="spellEnd"/>
      <w:r w:rsidR="00F160F0" w:rsidRPr="00C57832">
        <w:rPr>
          <w:lang w:val="fr-BE"/>
        </w:rPr>
        <w:t xml:space="preserve"> Plus. Aucune information d’investissement, d’amortissement, de cout d’exploitation </w:t>
      </w:r>
      <w:r w:rsidRPr="00C57832">
        <w:rPr>
          <w:lang w:val="fr-BE"/>
        </w:rPr>
        <w:t>ou autre ne sera transmise</w:t>
      </w:r>
      <w:r w:rsidR="00F160F0" w:rsidRPr="00C57832">
        <w:rPr>
          <w:lang w:val="fr-BE"/>
        </w:rPr>
        <w:t xml:space="preserve"> à </w:t>
      </w:r>
      <w:proofErr w:type="spellStart"/>
      <w:r w:rsidR="00F160F0" w:rsidRPr="00C57832">
        <w:rPr>
          <w:lang w:val="fr-BE"/>
        </w:rPr>
        <w:t>Fost</w:t>
      </w:r>
      <w:proofErr w:type="spellEnd"/>
      <w:r w:rsidR="00F160F0" w:rsidRPr="00C57832">
        <w:rPr>
          <w:lang w:val="fr-BE"/>
        </w:rPr>
        <w:t xml:space="preserve"> Plus.</w:t>
      </w:r>
    </w:p>
    <w:p w14:paraId="10458758" w14:textId="5FC073FA" w:rsidR="00F160F0" w:rsidRPr="00C57832" w:rsidRDefault="00F160F0" w:rsidP="00F160F0">
      <w:pPr>
        <w:rPr>
          <w:lang w:val="fr-BE"/>
        </w:rPr>
      </w:pPr>
      <w:r w:rsidRPr="00C57832">
        <w:rPr>
          <w:lang w:val="fr-BE"/>
        </w:rPr>
        <w:t>Les offres des marchés attribués tombant d</w:t>
      </w:r>
      <w:r w:rsidR="00C47EA0" w:rsidRPr="00C57832">
        <w:rPr>
          <w:lang w:val="fr-BE"/>
        </w:rPr>
        <w:t>ans</w:t>
      </w:r>
      <w:r w:rsidRPr="00C57832">
        <w:rPr>
          <w:lang w:val="fr-BE"/>
        </w:rPr>
        <w:t xml:space="preserve"> la cadre de cette étude pourront être partagées avec l’auditeur mandaté.</w:t>
      </w:r>
    </w:p>
    <w:p w14:paraId="397C7E7D" w14:textId="1FE28FF6" w:rsidR="006B4934" w:rsidRPr="00C127EC" w:rsidRDefault="006B4934" w:rsidP="00BB166A">
      <w:pPr>
        <w:pStyle w:val="Titre3"/>
        <w:numPr>
          <w:ilvl w:val="0"/>
          <w:numId w:val="24"/>
        </w:numPr>
        <w:spacing w:after="100" w:afterAutospacing="1"/>
        <w:rPr>
          <w:b/>
          <w:iCs/>
          <w:sz w:val="24"/>
          <w:szCs w:val="28"/>
          <w:lang w:val="fr-BE" w:eastAsia="nl-NL"/>
        </w:rPr>
      </w:pPr>
      <w:bookmarkStart w:id="104" w:name="_Toc200945517"/>
      <w:bookmarkStart w:id="105" w:name="_Toc201025148"/>
      <w:bookmarkStart w:id="106" w:name="_Toc201587455"/>
      <w:bookmarkStart w:id="107" w:name="_Toc513197758"/>
      <w:r w:rsidRPr="00C127EC">
        <w:rPr>
          <w:b/>
          <w:iCs/>
          <w:sz w:val="24"/>
          <w:szCs w:val="28"/>
          <w:lang w:val="fr-BE" w:eastAsia="nl-NL"/>
        </w:rPr>
        <w:t>Litiges</w:t>
      </w:r>
      <w:bookmarkEnd w:id="104"/>
      <w:bookmarkEnd w:id="105"/>
      <w:bookmarkEnd w:id="106"/>
      <w:bookmarkEnd w:id="107"/>
    </w:p>
    <w:p w14:paraId="397C7E7E" w14:textId="3CDCF90B" w:rsidR="006B4934" w:rsidRPr="00C57832" w:rsidRDefault="006B4934" w:rsidP="00FD4339">
      <w:pPr>
        <w:rPr>
          <w:lang w:val="fr-BE"/>
        </w:rPr>
      </w:pPr>
      <w:r w:rsidRPr="00FB0EA4">
        <w:rPr>
          <w:lang w:val="fr-BE"/>
        </w:rPr>
        <w:t>Si une procédure à l’amiable n’est pas possible</w:t>
      </w:r>
      <w:r w:rsidR="00671222" w:rsidRPr="00FB0EA4">
        <w:rPr>
          <w:lang w:val="fr-BE"/>
        </w:rPr>
        <w:t xml:space="preserve"> </w:t>
      </w:r>
      <w:r w:rsidRPr="00FB0EA4">
        <w:rPr>
          <w:lang w:val="fr-BE"/>
        </w:rPr>
        <w:t>et</w:t>
      </w:r>
      <w:r w:rsidR="0057369C" w:rsidRPr="00FB0EA4">
        <w:rPr>
          <w:lang w:val="fr-BE"/>
        </w:rPr>
        <w:t>,</w:t>
      </w:r>
      <w:r w:rsidRPr="00FB0EA4">
        <w:rPr>
          <w:lang w:val="fr-BE"/>
        </w:rPr>
        <w:t xml:space="preserve"> au cas où le </w:t>
      </w:r>
      <w:r w:rsidR="005E5746" w:rsidRPr="00FB0EA4">
        <w:rPr>
          <w:lang w:val="fr-BE"/>
        </w:rPr>
        <w:t>Marché</w:t>
      </w:r>
      <w:r w:rsidRPr="00FB0EA4">
        <w:rPr>
          <w:lang w:val="fr-BE"/>
        </w:rPr>
        <w:t xml:space="preserve"> donnerait lieu à des litiges ou à des contestations de quelque nature que ce soit, l'affaire serait portée devant les tribunaux de l'arrondissement de </w:t>
      </w:r>
      <w:r w:rsidR="00FA42B8" w:rsidRPr="00FB0EA4">
        <w:rPr>
          <w:szCs w:val="18"/>
          <w:lang w:val="fr-BE"/>
        </w:rPr>
        <w:fldChar w:fldCharType="begin">
          <w:ffData>
            <w:name w:val=""/>
            <w:enabled/>
            <w:calcOnExit w:val="0"/>
            <w:textInput>
              <w:default w:val="&lt;arrondissement judiciaire applicable à indiquer ici par le pouvoir adjudicateur&gt;"/>
            </w:textInput>
          </w:ffData>
        </w:fldChar>
      </w:r>
      <w:r w:rsidR="00FA42B8" w:rsidRPr="00FB0EA4">
        <w:rPr>
          <w:szCs w:val="18"/>
          <w:lang w:val="fr-BE"/>
        </w:rPr>
        <w:instrText xml:space="preserve"> FORMTEXT </w:instrText>
      </w:r>
      <w:r w:rsidR="00FA42B8" w:rsidRPr="00FB0EA4">
        <w:rPr>
          <w:szCs w:val="18"/>
          <w:lang w:val="fr-BE"/>
        </w:rPr>
      </w:r>
      <w:r w:rsidR="00FA42B8" w:rsidRPr="00FB0EA4">
        <w:rPr>
          <w:szCs w:val="18"/>
          <w:lang w:val="fr-BE"/>
        </w:rPr>
        <w:fldChar w:fldCharType="separate"/>
      </w:r>
      <w:r w:rsidR="00FA42B8" w:rsidRPr="00FB0EA4">
        <w:rPr>
          <w:noProof/>
          <w:szCs w:val="18"/>
          <w:lang w:val="fr-BE"/>
        </w:rPr>
        <w:t>&lt;arrondissement judiciaire applicable à indiquer ici par le pouvoir adjudicateur&gt;</w:t>
      </w:r>
      <w:r w:rsidR="00FA42B8" w:rsidRPr="00FB0EA4">
        <w:rPr>
          <w:szCs w:val="18"/>
          <w:lang w:val="fr-BE"/>
        </w:rPr>
        <w:fldChar w:fldCharType="end"/>
      </w:r>
      <w:r w:rsidRPr="00FB0EA4">
        <w:rPr>
          <w:lang w:val="fr-BE"/>
        </w:rPr>
        <w:t>, qui sont seuls compétents. La langue véhiculaire est le Français.</w:t>
      </w:r>
    </w:p>
    <w:p w14:paraId="397C7E7F" w14:textId="1B834C2E" w:rsidR="006B4934" w:rsidRPr="00C57832" w:rsidRDefault="006B4934">
      <w:pPr>
        <w:rPr>
          <w:lang w:val="fr-BE"/>
        </w:rPr>
      </w:pPr>
      <w:r w:rsidRPr="00C57832">
        <w:rPr>
          <w:lang w:val="fr-BE"/>
        </w:rPr>
        <w:t xml:space="preserve">Le </w:t>
      </w:r>
      <w:bookmarkStart w:id="108" w:name="_Hlk36221972"/>
      <w:r w:rsidRPr="00C57832">
        <w:rPr>
          <w:lang w:val="fr-BE"/>
        </w:rPr>
        <w:t xml:space="preserve">pouvoir adjudicateur </w:t>
      </w:r>
      <w:bookmarkEnd w:id="108"/>
      <w:r w:rsidRPr="00C57832">
        <w:rPr>
          <w:lang w:val="fr-BE"/>
        </w:rPr>
        <w:t xml:space="preserve">et </w:t>
      </w:r>
      <w:proofErr w:type="spellStart"/>
      <w:r w:rsidRPr="00C57832">
        <w:rPr>
          <w:lang w:val="fr-BE"/>
        </w:rPr>
        <w:t>Fost</w:t>
      </w:r>
      <w:proofErr w:type="spellEnd"/>
      <w:r w:rsidRPr="00C57832">
        <w:rPr>
          <w:lang w:val="fr-BE"/>
        </w:rPr>
        <w:t xml:space="preserve"> Plus ne sont aucunement responsables de</w:t>
      </w:r>
      <w:r w:rsidR="0057369C" w:rsidRPr="00C57832">
        <w:rPr>
          <w:lang w:val="fr-BE"/>
        </w:rPr>
        <w:t>s</w:t>
      </w:r>
      <w:r w:rsidRPr="00C57832">
        <w:rPr>
          <w:lang w:val="fr-BE"/>
        </w:rPr>
        <w:t xml:space="preserve"> dégâts occasionnés à des personnes ou à des biens du fait de la mauvaise exécution du </w:t>
      </w:r>
      <w:r w:rsidR="005E5746" w:rsidRPr="00C57832">
        <w:rPr>
          <w:lang w:val="fr-BE"/>
        </w:rPr>
        <w:t>Marché</w:t>
      </w:r>
      <w:r w:rsidRPr="00C57832">
        <w:rPr>
          <w:lang w:val="fr-BE"/>
        </w:rPr>
        <w:t xml:space="preserve"> ou d'une faute </w:t>
      </w:r>
      <w:r w:rsidR="00DD47F0" w:rsidRPr="00C57832">
        <w:rPr>
          <w:lang w:val="fr-BE"/>
        </w:rPr>
        <w:t>extracontractuelle</w:t>
      </w:r>
      <w:r w:rsidRPr="00C57832">
        <w:rPr>
          <w:lang w:val="fr-BE"/>
        </w:rPr>
        <w:t xml:space="preserve"> découlant de celui-ci. Le prestataire de services garantit le pouvoir adjudicateur et </w:t>
      </w:r>
      <w:proofErr w:type="spellStart"/>
      <w:r w:rsidRPr="00C57832">
        <w:rPr>
          <w:lang w:val="fr-BE"/>
        </w:rPr>
        <w:t>Fost</w:t>
      </w:r>
      <w:proofErr w:type="spellEnd"/>
      <w:r w:rsidRPr="00C57832">
        <w:rPr>
          <w:lang w:val="fr-BE"/>
        </w:rPr>
        <w:t xml:space="preserve"> Plus contre toute action en dommages et intérêts par des tiers à cet égard.</w:t>
      </w:r>
    </w:p>
    <w:p w14:paraId="397C7E80" w14:textId="22DFF624" w:rsidR="006B4934" w:rsidRPr="00C127EC" w:rsidRDefault="006B4934" w:rsidP="00BB166A">
      <w:pPr>
        <w:pStyle w:val="Titre3"/>
        <w:numPr>
          <w:ilvl w:val="0"/>
          <w:numId w:val="24"/>
        </w:numPr>
        <w:spacing w:after="100" w:afterAutospacing="1"/>
        <w:rPr>
          <w:b/>
          <w:iCs/>
          <w:sz w:val="24"/>
          <w:szCs w:val="28"/>
          <w:lang w:val="fr-BE" w:eastAsia="nl-NL"/>
        </w:rPr>
      </w:pPr>
      <w:bookmarkStart w:id="109" w:name="_Toc200945518"/>
      <w:bookmarkStart w:id="110" w:name="_Toc201025149"/>
      <w:bookmarkStart w:id="111" w:name="_Toc201587456"/>
      <w:bookmarkStart w:id="112" w:name="_Toc513197759"/>
      <w:r w:rsidRPr="00C127EC">
        <w:rPr>
          <w:b/>
          <w:iCs/>
          <w:sz w:val="24"/>
          <w:szCs w:val="28"/>
          <w:lang w:val="fr-BE" w:eastAsia="nl-NL"/>
        </w:rPr>
        <w:t>Moyens d’action du pouvoir adjudicateur</w:t>
      </w:r>
      <w:bookmarkEnd w:id="109"/>
      <w:bookmarkEnd w:id="110"/>
      <w:bookmarkEnd w:id="111"/>
      <w:bookmarkEnd w:id="112"/>
    </w:p>
    <w:p w14:paraId="397C7E81" w14:textId="77777777" w:rsidR="006B4934" w:rsidRPr="00C57832" w:rsidRDefault="006B4934" w:rsidP="00D44D75">
      <w:pPr>
        <w:spacing w:before="240"/>
        <w:rPr>
          <w:rFonts w:eastAsia="Times New Roman"/>
          <w:lang w:val="fr-BE" w:eastAsia="nl-NL"/>
        </w:rPr>
      </w:pPr>
      <w:r w:rsidRPr="00C57832">
        <w:rPr>
          <w:rFonts w:eastAsia="Times New Roman"/>
          <w:lang w:val="fr-BE" w:eastAsia="nl-NL"/>
        </w:rPr>
        <w:t>A. Général</w:t>
      </w:r>
    </w:p>
    <w:p w14:paraId="397C7E82" w14:textId="26D608D7" w:rsidR="006B4934" w:rsidRPr="00C57832" w:rsidRDefault="006B4934">
      <w:pPr>
        <w:rPr>
          <w:lang w:val="fr-BE"/>
        </w:rPr>
      </w:pPr>
      <w:r w:rsidRPr="00C57832">
        <w:rPr>
          <w:lang w:val="fr-BE"/>
        </w:rPr>
        <w:t xml:space="preserve">Sans préjudice </w:t>
      </w:r>
      <w:r w:rsidR="00203ABD" w:rsidRPr="00C57832">
        <w:rPr>
          <w:lang w:val="fr-BE"/>
        </w:rPr>
        <w:t xml:space="preserve">à l’application d’un ou plusieurs moyens d’action tels que prévus aux articles 45 à 49 et l’article 155 </w:t>
      </w:r>
      <w:r w:rsidR="008850D9" w:rsidRPr="00C57832">
        <w:rPr>
          <w:lang w:val="fr-BE"/>
        </w:rPr>
        <w:t>AR Exécution</w:t>
      </w:r>
      <w:r w:rsidRPr="00C57832">
        <w:rPr>
          <w:lang w:val="fr-BE"/>
        </w:rPr>
        <w:t xml:space="preserve">, le pouvoir adjudicateur se réserve un certain nombre de moyens d'action. </w:t>
      </w:r>
    </w:p>
    <w:p w14:paraId="397C7E83" w14:textId="6A91CC3A" w:rsidR="006B4934" w:rsidRPr="00C57832" w:rsidRDefault="006B4934">
      <w:pPr>
        <w:rPr>
          <w:lang w:val="fr-BE"/>
        </w:rPr>
      </w:pPr>
      <w:r w:rsidRPr="00C57832">
        <w:rPr>
          <w:lang w:val="fr-BE"/>
        </w:rPr>
        <w:t xml:space="preserve">Si le prestataire de services n'exécute pas le </w:t>
      </w:r>
      <w:r w:rsidR="005E5746" w:rsidRPr="00C57832">
        <w:rPr>
          <w:lang w:val="fr-BE"/>
        </w:rPr>
        <w:t>Marché</w:t>
      </w:r>
      <w:r w:rsidRPr="00C57832">
        <w:rPr>
          <w:lang w:val="fr-BE"/>
        </w:rPr>
        <w:t xml:space="preserve"> aux époques convenues ou dans les conditions définies au présent cahier des charges, il y a lieu de procéder à l'application des pénalités spéciales ou des mesures d'office définies ci-dessous pour retard et/ou non</w:t>
      </w:r>
      <w:r w:rsidR="00203ABD" w:rsidRPr="00C57832">
        <w:rPr>
          <w:lang w:val="fr-BE"/>
        </w:rPr>
        <w:t>-</w:t>
      </w:r>
      <w:r w:rsidRPr="00C57832">
        <w:rPr>
          <w:lang w:val="fr-BE"/>
        </w:rPr>
        <w:t xml:space="preserve">exécution. </w:t>
      </w:r>
    </w:p>
    <w:p w14:paraId="406B3223" w14:textId="77777777" w:rsidR="00663A88" w:rsidRPr="00C57832" w:rsidRDefault="00663A88" w:rsidP="00663A88">
      <w:pPr>
        <w:rPr>
          <w:lang w:val="fr-BE"/>
        </w:rPr>
      </w:pPr>
      <w:r w:rsidRPr="00C57832">
        <w:rPr>
          <w:lang w:val="fr-BE"/>
        </w:rPr>
        <w:t xml:space="preserve">Tous les manquements aux clauses du Marché, y compris la non-observation des ordres du pouvoir adjudicateur ou </w:t>
      </w:r>
      <w:proofErr w:type="spellStart"/>
      <w:r w:rsidRPr="00C57832">
        <w:rPr>
          <w:lang w:val="fr-BE"/>
        </w:rPr>
        <w:t>Fost</w:t>
      </w:r>
      <w:proofErr w:type="spellEnd"/>
      <w:r w:rsidRPr="00C57832">
        <w:rPr>
          <w:lang w:val="fr-BE"/>
        </w:rPr>
        <w:t xml:space="preserve"> Plus, sont constatés par procès-verbal par le pouvoir adjudicateur ou </w:t>
      </w:r>
      <w:proofErr w:type="spellStart"/>
      <w:r w:rsidRPr="00C57832">
        <w:rPr>
          <w:lang w:val="fr-BE"/>
        </w:rPr>
        <w:t>Fost</w:t>
      </w:r>
      <w:proofErr w:type="spellEnd"/>
      <w:r w:rsidRPr="00C57832">
        <w:rPr>
          <w:lang w:val="fr-BE"/>
        </w:rPr>
        <w:t xml:space="preserve"> Plus qui sera immédiatement communiqué par fax ou par e-mail au prestataire de services. Le </w:t>
      </w:r>
      <w:r w:rsidRPr="00C57832">
        <w:rPr>
          <w:lang w:val="fr-BE"/>
        </w:rPr>
        <w:lastRenderedPageBreak/>
        <w:t>prestataire de services et/ou ses éventuels sous-traitants, stations de transfert y compris, en confirme la réception, par fax ou par e-mail, dans les 24 heures. Ce délai de 24 heures est suspendu pendant les jours de non-travail. Il peut également faire valoir, dans ce délai, ses moyens de défense. Passé ce délai, son silence est considéré comme une reconnaissance des faits constatés. Le procès-verbal dénonçant les défauts d'exécution est immédiatement confirmé par lettre recommandée à la poste par la partie qui constate le manquement.</w:t>
      </w:r>
    </w:p>
    <w:p w14:paraId="397C7E85" w14:textId="2AD8B032" w:rsidR="004D3E09" w:rsidRPr="00C57832" w:rsidRDefault="006B4934" w:rsidP="004D3E09">
      <w:pPr>
        <w:rPr>
          <w:lang w:val="fr-BE"/>
        </w:rPr>
      </w:pPr>
      <w:r w:rsidRPr="00C57832">
        <w:rPr>
          <w:lang w:val="fr-BE"/>
        </w:rPr>
        <w:t xml:space="preserve">Au début du </w:t>
      </w:r>
      <w:r w:rsidR="005E5746" w:rsidRPr="00C57832">
        <w:rPr>
          <w:lang w:val="fr-BE"/>
        </w:rPr>
        <w:t>Marché</w:t>
      </w:r>
      <w:r w:rsidRPr="00C57832">
        <w:rPr>
          <w:lang w:val="fr-BE"/>
        </w:rPr>
        <w:t>, le prestataire de services doit donner le nom et les coordonnées, notamment l'adresse e-mail de la personne de contact ou de son remplaçant</w:t>
      </w:r>
      <w:r w:rsidR="003D3A46" w:rsidRPr="00C57832">
        <w:rPr>
          <w:lang w:val="fr-BE"/>
        </w:rPr>
        <w:t xml:space="preserve">, </w:t>
      </w:r>
      <w:r w:rsidRPr="00C57832">
        <w:rPr>
          <w:lang w:val="fr-BE"/>
        </w:rPr>
        <w:t>auxquels peuvent en permanence être envoyées les éventuelles plaintes et/ou les notifications de défaut d'exécution.</w:t>
      </w:r>
      <w:r w:rsidR="004D3E09" w:rsidRPr="00C57832">
        <w:rPr>
          <w:lang w:val="fr-BE"/>
        </w:rPr>
        <w:t xml:space="preserve"> </w:t>
      </w:r>
      <w:r w:rsidR="00084048" w:rsidRPr="00C57832">
        <w:rPr>
          <w:lang w:val="fr-BE"/>
        </w:rPr>
        <w:t xml:space="preserve">Le prestataire de services doit être joignable </w:t>
      </w:r>
      <w:r w:rsidR="00CA0391" w:rsidRPr="00C57832">
        <w:rPr>
          <w:lang w:val="fr-BE"/>
        </w:rPr>
        <w:t xml:space="preserve">au minimum </w:t>
      </w:r>
      <w:r w:rsidR="004D3E09" w:rsidRPr="00C57832">
        <w:rPr>
          <w:lang w:val="fr-BE"/>
        </w:rPr>
        <w:t xml:space="preserve">les jours de travail </w:t>
      </w:r>
      <w:r w:rsidR="00084048" w:rsidRPr="00C57832">
        <w:rPr>
          <w:lang w:val="fr-BE"/>
        </w:rPr>
        <w:t>entre 8h et 18h.</w:t>
      </w:r>
    </w:p>
    <w:p w14:paraId="397C7E86" w14:textId="6BEACB85" w:rsidR="006B4934" w:rsidRPr="00C57832" w:rsidRDefault="006B4934">
      <w:pPr>
        <w:rPr>
          <w:lang w:val="fr-BE"/>
        </w:rPr>
      </w:pPr>
      <w:r w:rsidRPr="00C57832">
        <w:rPr>
          <w:lang w:val="fr-BE"/>
        </w:rPr>
        <w:t xml:space="preserve">Les </w:t>
      </w:r>
      <w:r w:rsidR="00727AEA" w:rsidRPr="00C57832">
        <w:rPr>
          <w:lang w:val="fr-BE"/>
        </w:rPr>
        <w:t xml:space="preserve">procédures d’application des amendes, de constatation des défauts ainsi que la description des procédures de contrôle de qualité sont </w:t>
      </w:r>
      <w:r w:rsidRPr="00C57832">
        <w:rPr>
          <w:lang w:val="fr-BE"/>
        </w:rPr>
        <w:t>repris</w:t>
      </w:r>
      <w:r w:rsidR="00727AEA" w:rsidRPr="00C57832">
        <w:rPr>
          <w:lang w:val="fr-BE"/>
        </w:rPr>
        <w:t>es</w:t>
      </w:r>
      <w:r w:rsidRPr="00C57832">
        <w:rPr>
          <w:lang w:val="fr-BE"/>
        </w:rPr>
        <w:t xml:space="preserve"> </w:t>
      </w:r>
      <w:r w:rsidR="003D3A46" w:rsidRPr="00C57832">
        <w:rPr>
          <w:lang w:val="fr-BE"/>
        </w:rPr>
        <w:t>à l’annexe E du présent cahier des charges.</w:t>
      </w:r>
    </w:p>
    <w:p w14:paraId="397C7E87" w14:textId="77777777" w:rsidR="006B4934" w:rsidRPr="0012737C" w:rsidRDefault="006B4934">
      <w:pPr>
        <w:rPr>
          <w:lang w:val="fr-BE"/>
        </w:rPr>
      </w:pPr>
      <w:r w:rsidRPr="00C57832">
        <w:rPr>
          <w:lang w:val="fr-BE"/>
        </w:rPr>
        <w:t xml:space="preserve">B. Pénalités </w:t>
      </w:r>
      <w:r w:rsidRPr="0012737C">
        <w:rPr>
          <w:lang w:val="fr-BE"/>
        </w:rPr>
        <w:t>spéciales</w:t>
      </w:r>
    </w:p>
    <w:p w14:paraId="02E6280E" w14:textId="39C79250" w:rsidR="00FF34AA" w:rsidRPr="001638D8" w:rsidRDefault="00853C40" w:rsidP="00BB166A">
      <w:pPr>
        <w:pStyle w:val="Listenumros"/>
        <w:numPr>
          <w:ilvl w:val="0"/>
          <w:numId w:val="15"/>
        </w:numPr>
        <w:ind w:left="426" w:hanging="426"/>
        <w:rPr>
          <w:highlight w:val="yellow"/>
          <w:lang w:val="fr-BE" w:eastAsia="nl-NL"/>
        </w:rPr>
      </w:pPr>
      <w:r w:rsidRPr="001638D8">
        <w:rPr>
          <w:highlight w:val="yellow"/>
          <w:lang w:val="fr-BE" w:eastAsia="nl-NL"/>
        </w:rPr>
        <w:t>Cette disposition peut entrer en vigueur au plus tôt le</w:t>
      </w:r>
      <w:r w:rsidR="00FF34AA" w:rsidRPr="001638D8">
        <w:rPr>
          <w:highlight w:val="yellow"/>
          <w:lang w:val="fr-BE" w:eastAsia="nl-NL"/>
        </w:rPr>
        <w:t xml:space="preserve"> 1</w:t>
      </w:r>
      <w:r w:rsidRPr="001638D8">
        <w:rPr>
          <w:highlight w:val="yellow"/>
          <w:vertAlign w:val="superscript"/>
          <w:lang w:val="fr-BE" w:eastAsia="nl-NL"/>
        </w:rPr>
        <w:t>er</w:t>
      </w:r>
      <w:r w:rsidRPr="001638D8">
        <w:rPr>
          <w:highlight w:val="yellow"/>
          <w:lang w:val="fr-BE" w:eastAsia="nl-NL"/>
        </w:rPr>
        <w:t xml:space="preserve"> juin</w:t>
      </w:r>
      <w:r w:rsidR="00FF34AA" w:rsidRPr="001638D8">
        <w:rPr>
          <w:highlight w:val="yellow"/>
          <w:lang w:val="fr-BE" w:eastAsia="nl-NL"/>
        </w:rPr>
        <w:t xml:space="preserve"> 2021, </w:t>
      </w:r>
      <w:r w:rsidRPr="001638D8">
        <w:rPr>
          <w:highlight w:val="yellow"/>
          <w:lang w:val="fr-BE" w:eastAsia="nl-NL"/>
        </w:rPr>
        <w:t>après</w:t>
      </w:r>
      <w:r w:rsidR="00FF34AA" w:rsidRPr="001638D8">
        <w:rPr>
          <w:highlight w:val="yellow"/>
          <w:lang w:val="fr-BE" w:eastAsia="nl-NL"/>
        </w:rPr>
        <w:t xml:space="preserve"> </w:t>
      </w:r>
      <w:r w:rsidRPr="001638D8">
        <w:rPr>
          <w:highlight w:val="yellow"/>
          <w:lang w:val="fr-BE" w:eastAsia="nl-NL"/>
        </w:rPr>
        <w:t xml:space="preserve">avis </w:t>
      </w:r>
      <w:r w:rsidR="00FF34AA" w:rsidRPr="001638D8">
        <w:rPr>
          <w:highlight w:val="yellow"/>
          <w:lang w:val="fr-BE" w:eastAsia="nl-NL"/>
        </w:rPr>
        <w:t xml:space="preserve">positif </w:t>
      </w:r>
      <w:r w:rsidRPr="001638D8">
        <w:rPr>
          <w:highlight w:val="yellow"/>
          <w:lang w:val="fr-BE" w:eastAsia="nl-NL"/>
        </w:rPr>
        <w:t>du</w:t>
      </w:r>
      <w:r w:rsidR="00047F6B" w:rsidRPr="001638D8">
        <w:rPr>
          <w:highlight w:val="yellow"/>
          <w:lang w:val="fr-BE" w:eastAsia="nl-NL"/>
        </w:rPr>
        <w:t xml:space="preserve"> Comité mixte</w:t>
      </w:r>
      <w:r w:rsidR="00EC3BEF" w:rsidRPr="001638D8">
        <w:rPr>
          <w:rStyle w:val="Appelnotedebasdep"/>
          <w:highlight w:val="yellow"/>
          <w:lang w:val="fr-BE" w:eastAsia="nl-NL"/>
        </w:rPr>
        <w:footnoteReference w:id="11"/>
      </w:r>
      <w:r w:rsidR="00FF34AA" w:rsidRPr="001638D8">
        <w:rPr>
          <w:highlight w:val="yellow"/>
          <w:lang w:val="fr-BE" w:eastAsia="nl-NL"/>
        </w:rPr>
        <w:t>.</w:t>
      </w:r>
    </w:p>
    <w:p w14:paraId="3B31D4F2" w14:textId="77777777" w:rsidR="00FF34AA" w:rsidRPr="0012737C" w:rsidRDefault="00FF34AA" w:rsidP="00FF34AA">
      <w:pPr>
        <w:pStyle w:val="Listenumros"/>
        <w:ind w:left="426"/>
        <w:rPr>
          <w:lang w:val="fr-BE" w:eastAsia="nl-NL"/>
        </w:rPr>
      </w:pPr>
    </w:p>
    <w:p w14:paraId="3E3BE3E2" w14:textId="0D6E4EEA" w:rsidR="009D2252" w:rsidRPr="0012737C" w:rsidRDefault="006630B3" w:rsidP="002116A4">
      <w:pPr>
        <w:pStyle w:val="Listenumros"/>
        <w:ind w:left="357"/>
        <w:rPr>
          <w:i/>
          <w:lang w:val="fr-BE"/>
        </w:rPr>
      </w:pPr>
      <w:r w:rsidRPr="0012737C">
        <w:rPr>
          <w:i/>
          <w:lang w:val="fr-BE" w:eastAsia="nl-NL"/>
        </w:rPr>
        <w:t>À tout moment</w:t>
      </w:r>
      <w:r w:rsidR="00DD47F0" w:rsidRPr="0012737C">
        <w:rPr>
          <w:i/>
          <w:lang w:val="fr-BE" w:eastAsia="nl-NL"/>
        </w:rPr>
        <w:t>, s</w:t>
      </w:r>
      <w:r w:rsidR="006B4934" w:rsidRPr="0012737C">
        <w:rPr>
          <w:i/>
          <w:lang w:val="fr-BE" w:eastAsia="nl-NL"/>
        </w:rPr>
        <w:t xml:space="preserve">i la qualité du PMC livré, en provenance de la collecte en porte-à-porte, est jugée insuffisante, </w:t>
      </w:r>
      <w:r w:rsidR="00A077FD" w:rsidRPr="0012737C">
        <w:rPr>
          <w:i/>
          <w:lang w:val="fr-BE" w:eastAsia="nl-NL"/>
        </w:rPr>
        <w:t>les amende</w:t>
      </w:r>
      <w:r w:rsidR="00A077FD" w:rsidRPr="00C57832">
        <w:rPr>
          <w:i/>
          <w:lang w:val="fr-BE" w:eastAsia="nl-NL"/>
        </w:rPr>
        <w:t xml:space="preserve">s suivantes peuvent être appliquées sur base des contrôles décrits aux points 1.1. </w:t>
      </w:r>
      <w:proofErr w:type="gramStart"/>
      <w:r w:rsidR="00A077FD" w:rsidRPr="00C57832">
        <w:rPr>
          <w:i/>
          <w:lang w:val="fr-BE" w:eastAsia="nl-NL"/>
        </w:rPr>
        <w:t>et</w:t>
      </w:r>
      <w:proofErr w:type="gramEnd"/>
      <w:r w:rsidR="00A077FD" w:rsidRPr="00C57832">
        <w:rPr>
          <w:i/>
          <w:lang w:val="fr-BE" w:eastAsia="nl-NL"/>
        </w:rPr>
        <w:t xml:space="preserve"> 1.2. </w:t>
      </w:r>
      <w:proofErr w:type="gramStart"/>
      <w:r w:rsidR="00A077FD" w:rsidRPr="00C57832">
        <w:rPr>
          <w:i/>
          <w:lang w:val="fr-BE" w:eastAsia="nl-NL"/>
        </w:rPr>
        <w:t>ci</w:t>
      </w:r>
      <w:proofErr w:type="gramEnd"/>
      <w:r w:rsidR="00A077FD" w:rsidRPr="00C57832">
        <w:rPr>
          <w:i/>
          <w:lang w:val="fr-BE" w:eastAsia="nl-NL"/>
        </w:rPr>
        <w:t xml:space="preserve">-dessous. </w:t>
      </w:r>
      <w:r w:rsidR="00C26CA8" w:rsidRPr="00C57832">
        <w:rPr>
          <w:i/>
          <w:lang w:val="fr-BE"/>
        </w:rPr>
        <w:t>L</w:t>
      </w:r>
      <w:r w:rsidR="009D2252" w:rsidRPr="00C57832">
        <w:rPr>
          <w:i/>
          <w:lang w:val="fr-BE"/>
        </w:rPr>
        <w:t>e</w:t>
      </w:r>
      <w:r w:rsidR="00C26CA8" w:rsidRPr="00C57832">
        <w:rPr>
          <w:i/>
          <w:lang w:val="fr-BE"/>
        </w:rPr>
        <w:t>s</w:t>
      </w:r>
      <w:r w:rsidR="009D2252" w:rsidRPr="00C57832">
        <w:rPr>
          <w:i/>
          <w:lang w:val="fr-BE"/>
        </w:rPr>
        <w:t xml:space="preserve"> </w:t>
      </w:r>
      <w:r w:rsidR="00C26CA8" w:rsidRPr="00C57832">
        <w:rPr>
          <w:i/>
          <w:lang w:val="fr-BE"/>
        </w:rPr>
        <w:t>contrôles</w:t>
      </w:r>
      <w:r w:rsidR="009D2252" w:rsidRPr="00C57832">
        <w:rPr>
          <w:i/>
          <w:lang w:val="fr-BE"/>
        </w:rPr>
        <w:t xml:space="preserve"> </w:t>
      </w:r>
      <w:r w:rsidR="00C26CA8" w:rsidRPr="00C57832">
        <w:rPr>
          <w:i/>
          <w:lang w:val="fr-BE"/>
        </w:rPr>
        <w:t xml:space="preserve">sont réalisés indépendamment les uns des autres et les amendes correspondantes peuvent donc être </w:t>
      </w:r>
      <w:r w:rsidR="00B6677F" w:rsidRPr="00C57832">
        <w:rPr>
          <w:i/>
          <w:lang w:val="fr-BE"/>
        </w:rPr>
        <w:t>facturé</w:t>
      </w:r>
      <w:r w:rsidR="00C26CA8" w:rsidRPr="00C57832">
        <w:rPr>
          <w:i/>
          <w:lang w:val="fr-BE"/>
        </w:rPr>
        <w:t>es de manière</w:t>
      </w:r>
      <w:r w:rsidR="00B6677F" w:rsidRPr="00C57832">
        <w:rPr>
          <w:i/>
          <w:lang w:val="fr-BE"/>
        </w:rPr>
        <w:t xml:space="preserve"> </w:t>
      </w:r>
      <w:r w:rsidR="009D2252" w:rsidRPr="0012737C">
        <w:rPr>
          <w:i/>
          <w:lang w:val="fr-BE"/>
        </w:rPr>
        <w:t>cumulati</w:t>
      </w:r>
      <w:r w:rsidR="00B6677F" w:rsidRPr="0012737C">
        <w:rPr>
          <w:i/>
          <w:lang w:val="fr-BE"/>
        </w:rPr>
        <w:t>v</w:t>
      </w:r>
      <w:r w:rsidR="009D2252" w:rsidRPr="0012737C">
        <w:rPr>
          <w:i/>
          <w:lang w:val="fr-BE"/>
        </w:rPr>
        <w:t xml:space="preserve">e. </w:t>
      </w:r>
      <w:r w:rsidR="00B6677F" w:rsidRPr="0012737C">
        <w:rPr>
          <w:i/>
          <w:lang w:val="fr-BE"/>
        </w:rPr>
        <w:t xml:space="preserve">Dans des contextes </w:t>
      </w:r>
      <w:r w:rsidR="009D2252" w:rsidRPr="0012737C">
        <w:rPr>
          <w:i/>
          <w:lang w:val="fr-BE"/>
        </w:rPr>
        <w:t>sp</w:t>
      </w:r>
      <w:r w:rsidR="00B6677F" w:rsidRPr="0012737C">
        <w:rPr>
          <w:i/>
          <w:lang w:val="fr-BE"/>
        </w:rPr>
        <w:t>é</w:t>
      </w:r>
      <w:r w:rsidR="009D2252" w:rsidRPr="0012737C">
        <w:rPr>
          <w:i/>
          <w:lang w:val="fr-BE"/>
        </w:rPr>
        <w:t>cifi</w:t>
      </w:r>
      <w:r w:rsidR="00B6677F" w:rsidRPr="0012737C">
        <w:rPr>
          <w:i/>
          <w:lang w:val="fr-BE"/>
        </w:rPr>
        <w:t>qu</w:t>
      </w:r>
      <w:r w:rsidR="009D2252" w:rsidRPr="0012737C">
        <w:rPr>
          <w:i/>
          <w:lang w:val="fr-BE"/>
        </w:rPr>
        <w:t>e</w:t>
      </w:r>
      <w:r w:rsidR="00B6677F" w:rsidRPr="0012737C">
        <w:rPr>
          <w:i/>
          <w:lang w:val="fr-BE"/>
        </w:rPr>
        <w:t>s</w:t>
      </w:r>
      <w:r w:rsidR="009D2252" w:rsidRPr="0012737C">
        <w:rPr>
          <w:i/>
          <w:lang w:val="fr-BE"/>
        </w:rPr>
        <w:t xml:space="preserve"> (</w:t>
      </w:r>
      <w:r w:rsidR="00B6677F" w:rsidRPr="0012737C">
        <w:rPr>
          <w:i/>
          <w:lang w:val="fr-BE"/>
        </w:rPr>
        <w:t>par ex</w:t>
      </w:r>
      <w:r w:rsidR="009D2252" w:rsidRPr="0012737C">
        <w:rPr>
          <w:i/>
          <w:lang w:val="fr-BE"/>
        </w:rPr>
        <w:t>.</w:t>
      </w:r>
      <w:r w:rsidR="002116A4" w:rsidRPr="0012737C">
        <w:rPr>
          <w:i/>
          <w:lang w:val="fr-BE"/>
        </w:rPr>
        <w:t xml:space="preserve"> </w:t>
      </w:r>
      <w:r w:rsidR="009D2252" w:rsidRPr="0012737C">
        <w:rPr>
          <w:i/>
          <w:lang w:val="fr-BE"/>
        </w:rPr>
        <w:t>zones</w:t>
      </w:r>
      <w:r w:rsidR="00B6677F" w:rsidRPr="0012737C">
        <w:rPr>
          <w:i/>
          <w:lang w:val="fr-BE"/>
        </w:rPr>
        <w:t xml:space="preserve"> touristiques</w:t>
      </w:r>
      <w:r w:rsidR="009D2252" w:rsidRPr="0012737C">
        <w:rPr>
          <w:i/>
          <w:lang w:val="fr-BE"/>
        </w:rPr>
        <w:t>)</w:t>
      </w:r>
      <w:r w:rsidR="002116A4" w:rsidRPr="0012737C">
        <w:rPr>
          <w:i/>
          <w:lang w:val="fr-BE"/>
        </w:rPr>
        <w:t>,</w:t>
      </w:r>
      <w:r w:rsidR="009D2252" w:rsidRPr="0012737C">
        <w:rPr>
          <w:i/>
          <w:lang w:val="fr-BE"/>
        </w:rPr>
        <w:t xml:space="preserve"> </w:t>
      </w:r>
      <w:r w:rsidR="002116A4" w:rsidRPr="0012737C">
        <w:rPr>
          <w:i/>
          <w:lang w:val="fr-BE"/>
        </w:rPr>
        <w:t xml:space="preserve">la </w:t>
      </w:r>
      <w:r w:rsidR="009D2252" w:rsidRPr="0012737C">
        <w:rPr>
          <w:i/>
          <w:lang w:val="fr-BE"/>
        </w:rPr>
        <w:t>m</w:t>
      </w:r>
      <w:r w:rsidR="002116A4" w:rsidRPr="0012737C">
        <w:rPr>
          <w:i/>
          <w:lang w:val="fr-BE"/>
        </w:rPr>
        <w:t>é</w:t>
      </w:r>
      <w:r w:rsidR="009D2252" w:rsidRPr="0012737C">
        <w:rPr>
          <w:i/>
          <w:lang w:val="fr-BE"/>
        </w:rPr>
        <w:t>thode</w:t>
      </w:r>
      <w:r w:rsidR="002116A4" w:rsidRPr="0012737C">
        <w:rPr>
          <w:i/>
          <w:lang w:val="fr-BE"/>
        </w:rPr>
        <w:t xml:space="preserve"> de</w:t>
      </w:r>
      <w:r w:rsidR="009D2252" w:rsidRPr="0012737C">
        <w:rPr>
          <w:i/>
          <w:lang w:val="fr-BE"/>
        </w:rPr>
        <w:t xml:space="preserve"> </w:t>
      </w:r>
      <w:r w:rsidR="002116A4" w:rsidRPr="0012737C">
        <w:rPr>
          <w:i/>
          <w:lang w:val="fr-BE"/>
        </w:rPr>
        <w:t>contrôle</w:t>
      </w:r>
      <w:r w:rsidR="009D2252" w:rsidRPr="0012737C">
        <w:rPr>
          <w:i/>
          <w:lang w:val="fr-BE"/>
        </w:rPr>
        <w:t xml:space="preserve"> </w:t>
      </w:r>
      <w:r w:rsidR="002116A4" w:rsidRPr="0012737C">
        <w:rPr>
          <w:i/>
          <w:lang w:val="fr-BE"/>
        </w:rPr>
        <w:t>visuel peut être adaptée en concertation</w:t>
      </w:r>
      <w:r w:rsidR="009D2252" w:rsidRPr="0012737C">
        <w:rPr>
          <w:i/>
          <w:lang w:val="fr-BE"/>
        </w:rPr>
        <w:t>.</w:t>
      </w:r>
    </w:p>
    <w:p w14:paraId="397C7E88" w14:textId="3511B1FE" w:rsidR="00A077FD" w:rsidRPr="00C57832" w:rsidRDefault="00A077FD" w:rsidP="00FF34AA">
      <w:pPr>
        <w:pStyle w:val="Listenumros"/>
        <w:ind w:left="426"/>
        <w:rPr>
          <w:i/>
          <w:lang w:val="fr-BE" w:eastAsia="nl-NL"/>
        </w:rPr>
      </w:pPr>
    </w:p>
    <w:p w14:paraId="0515A9C0" w14:textId="77777777" w:rsidR="004E40A9" w:rsidRPr="00C57832" w:rsidRDefault="004E40A9" w:rsidP="00E00E32">
      <w:pPr>
        <w:pStyle w:val="Listenumros"/>
        <w:ind w:left="426"/>
        <w:rPr>
          <w:i/>
          <w:lang w:val="fr-BE"/>
        </w:rPr>
      </w:pPr>
      <w:r w:rsidRPr="00C57832">
        <w:rPr>
          <w:i/>
          <w:lang w:val="fr-BE"/>
        </w:rPr>
        <w:t>Les instructions de refus dans le cadre du PMC élargi font partie d’un trajet d’apprentissage, celles-ci pourront être adaptées en concertation avec les parties prenantes.</w:t>
      </w:r>
    </w:p>
    <w:p w14:paraId="52CE1FAA" w14:textId="77777777" w:rsidR="004E40A9" w:rsidRPr="00C57832" w:rsidRDefault="004E40A9" w:rsidP="00A05B7A">
      <w:pPr>
        <w:pStyle w:val="Listenumros"/>
        <w:rPr>
          <w:i/>
          <w:lang w:val="fr-BE" w:eastAsia="nl-NL"/>
        </w:rPr>
      </w:pPr>
    </w:p>
    <w:p w14:paraId="397C7E8A" w14:textId="77777777" w:rsidR="00681B3E" w:rsidRPr="00C57832" w:rsidRDefault="006B4934" w:rsidP="00BB166A">
      <w:pPr>
        <w:pStyle w:val="Listenumros"/>
        <w:numPr>
          <w:ilvl w:val="1"/>
          <w:numId w:val="8"/>
        </w:numPr>
        <w:ind w:left="1146"/>
        <w:rPr>
          <w:i/>
          <w:lang w:val="fr-BE" w:eastAsia="nl-NL"/>
        </w:rPr>
      </w:pPr>
      <w:r w:rsidRPr="00C57832">
        <w:rPr>
          <w:i/>
          <w:lang w:val="fr-BE" w:eastAsia="nl-NL"/>
        </w:rPr>
        <w:t>Analyse visuelle d’une livraison de PMC</w:t>
      </w:r>
    </w:p>
    <w:p w14:paraId="397C7E8B" w14:textId="77777777" w:rsidR="00A05B7A" w:rsidRPr="00C57832" w:rsidRDefault="00A05B7A" w:rsidP="00C76C93">
      <w:pPr>
        <w:pStyle w:val="Listenumros"/>
        <w:ind w:left="1146"/>
        <w:rPr>
          <w:i/>
          <w:lang w:val="fr-BE" w:eastAsia="nl-NL"/>
        </w:rPr>
      </w:pPr>
    </w:p>
    <w:p w14:paraId="52C33BDB" w14:textId="1ECD51BA" w:rsidR="004E40A9" w:rsidRPr="00C57832" w:rsidRDefault="00DD47F0" w:rsidP="00C76C93">
      <w:pPr>
        <w:pStyle w:val="Listenumros"/>
        <w:ind w:left="426"/>
        <w:rPr>
          <w:i/>
          <w:lang w:val="fr-BE"/>
        </w:rPr>
      </w:pPr>
      <w:r w:rsidRPr="00C57832">
        <w:rPr>
          <w:i/>
          <w:lang w:val="fr-BE"/>
        </w:rPr>
        <w:t>U</w:t>
      </w:r>
      <w:r w:rsidR="00A05B7A" w:rsidRPr="00C57832">
        <w:rPr>
          <w:i/>
          <w:lang w:val="fr-BE"/>
        </w:rPr>
        <w:t xml:space="preserve">ne amende </w:t>
      </w:r>
      <w:r w:rsidR="00A05B7A" w:rsidRPr="0012737C">
        <w:rPr>
          <w:i/>
          <w:lang w:val="fr-BE"/>
        </w:rPr>
        <w:t xml:space="preserve">de </w:t>
      </w:r>
      <w:r w:rsidR="00016853" w:rsidRPr="0012737C">
        <w:rPr>
          <w:i/>
          <w:lang w:val="fr-BE"/>
        </w:rPr>
        <w:t xml:space="preserve">20 </w:t>
      </w:r>
      <w:r w:rsidR="00A05B7A" w:rsidRPr="0012737C">
        <w:rPr>
          <w:i/>
          <w:lang w:val="fr-BE"/>
        </w:rPr>
        <w:t>EUR</w:t>
      </w:r>
      <w:r w:rsidR="00A05B7A" w:rsidRPr="00C57832">
        <w:rPr>
          <w:i/>
          <w:lang w:val="fr-BE"/>
        </w:rPr>
        <w:t xml:space="preserve"> </w:t>
      </w:r>
      <w:r w:rsidR="00B86C22" w:rsidRPr="00C25E01">
        <w:rPr>
          <w:i/>
          <w:szCs w:val="18"/>
          <w:highlight w:val="yellow"/>
          <w:lang w:val="fr-BE"/>
        </w:rPr>
        <w:t>[</w:t>
      </w:r>
      <w:r w:rsidR="00047F6B" w:rsidRPr="00C25E01">
        <w:rPr>
          <w:i/>
          <w:szCs w:val="18"/>
          <w:highlight w:val="yellow"/>
          <w:lang w:val="fr-BE"/>
        </w:rPr>
        <w:t>le Comité mixte</w:t>
      </w:r>
      <w:r w:rsidR="00B86C22" w:rsidRPr="00C25E01">
        <w:rPr>
          <w:i/>
          <w:szCs w:val="18"/>
          <w:highlight w:val="yellow"/>
          <w:lang w:val="fr-BE"/>
        </w:rPr>
        <w:t xml:space="preserve"> </w:t>
      </w:r>
      <w:r w:rsidR="00450860" w:rsidRPr="00C25E01">
        <w:rPr>
          <w:i/>
          <w:szCs w:val="18"/>
          <w:highlight w:val="yellow"/>
          <w:lang w:val="fr-BE"/>
        </w:rPr>
        <w:t>étudiera une hausse jusqu’à</w:t>
      </w:r>
      <w:r w:rsidR="00B86C22" w:rsidRPr="00C25E01">
        <w:rPr>
          <w:i/>
          <w:szCs w:val="18"/>
          <w:highlight w:val="yellow"/>
          <w:lang w:val="fr-BE"/>
        </w:rPr>
        <w:t xml:space="preserve"> 50 EUR]</w:t>
      </w:r>
      <w:r w:rsidR="00B86C22" w:rsidRPr="00C57832">
        <w:rPr>
          <w:i/>
          <w:szCs w:val="18"/>
          <w:lang w:val="fr-BE"/>
        </w:rPr>
        <w:t xml:space="preserve"> </w:t>
      </w:r>
      <w:r w:rsidR="00A05B7A" w:rsidRPr="00C57832">
        <w:rPr>
          <w:i/>
          <w:lang w:val="fr-BE"/>
        </w:rPr>
        <w:t>par</w:t>
      </w:r>
      <w:r w:rsidR="009B0D61" w:rsidRPr="00C57832">
        <w:rPr>
          <w:i/>
          <w:lang w:val="fr-BE"/>
        </w:rPr>
        <w:t xml:space="preserve"> sac autre que les sacs PMC et par</w:t>
      </w:r>
      <w:r w:rsidR="00A05B7A" w:rsidRPr="00C57832">
        <w:rPr>
          <w:i/>
          <w:lang w:val="fr-BE"/>
        </w:rPr>
        <w:t xml:space="preserve"> élément contaminant peut être infligée au </w:t>
      </w:r>
      <w:r w:rsidR="006B4934" w:rsidRPr="00C57832">
        <w:rPr>
          <w:i/>
          <w:lang w:val="fr-BE"/>
        </w:rPr>
        <w:t>prestataire de services</w:t>
      </w:r>
      <w:r w:rsidRPr="00C57832">
        <w:rPr>
          <w:i/>
          <w:lang w:val="fr-BE"/>
        </w:rPr>
        <w:t xml:space="preserve"> </w:t>
      </w:r>
      <w:r w:rsidR="00EB7FC4" w:rsidRPr="00C57832">
        <w:rPr>
          <w:i/>
          <w:lang w:val="fr-BE"/>
        </w:rPr>
        <w:t xml:space="preserve">au moment </w:t>
      </w:r>
      <w:r w:rsidR="006630B3" w:rsidRPr="00C57832">
        <w:rPr>
          <w:i/>
          <w:lang w:val="fr-BE"/>
        </w:rPr>
        <w:t>de la</w:t>
      </w:r>
      <w:r w:rsidRPr="00C57832">
        <w:rPr>
          <w:i/>
          <w:lang w:val="fr-BE"/>
        </w:rPr>
        <w:t xml:space="preserve"> livraison </w:t>
      </w:r>
      <w:r w:rsidR="00C818F6" w:rsidRPr="00C57832">
        <w:rPr>
          <w:i/>
          <w:lang w:val="fr-BE"/>
        </w:rPr>
        <w:t xml:space="preserve">directe </w:t>
      </w:r>
      <w:r w:rsidRPr="00C57832">
        <w:rPr>
          <w:i/>
          <w:lang w:val="fr-BE"/>
        </w:rPr>
        <w:t xml:space="preserve">des </w:t>
      </w:r>
      <w:r w:rsidR="00C818F6" w:rsidRPr="00C57832">
        <w:rPr>
          <w:i/>
          <w:lang w:val="fr-BE"/>
        </w:rPr>
        <w:t>PMC</w:t>
      </w:r>
      <w:r w:rsidRPr="00C57832">
        <w:rPr>
          <w:i/>
          <w:lang w:val="fr-BE"/>
        </w:rPr>
        <w:t xml:space="preserve"> au centre de tri (ou </w:t>
      </w:r>
      <w:r w:rsidR="00EA3762" w:rsidRPr="00C57832">
        <w:rPr>
          <w:i/>
          <w:lang w:val="fr-BE"/>
        </w:rPr>
        <w:t xml:space="preserve">à la </w:t>
      </w:r>
      <w:r w:rsidRPr="00C57832">
        <w:rPr>
          <w:i/>
          <w:lang w:val="fr-BE"/>
        </w:rPr>
        <w:t>station de transfert</w:t>
      </w:r>
      <w:r w:rsidR="00EB7FC4" w:rsidRPr="00C57832">
        <w:rPr>
          <w:i/>
          <w:lang w:val="fr-BE"/>
        </w:rPr>
        <w:t xml:space="preserve"> proposée par le centre de tri</w:t>
      </w:r>
      <w:r w:rsidR="00022839" w:rsidRPr="00C57832">
        <w:rPr>
          <w:i/>
          <w:lang w:val="fr-BE"/>
        </w:rPr>
        <w:t xml:space="preserve"> ou le prestataire de services</w:t>
      </w:r>
      <w:r w:rsidRPr="00C57832">
        <w:rPr>
          <w:i/>
          <w:lang w:val="fr-BE"/>
        </w:rPr>
        <w:t>)</w:t>
      </w:r>
      <w:r w:rsidR="00A05B7A" w:rsidRPr="00C57832">
        <w:rPr>
          <w:i/>
          <w:lang w:val="fr-BE"/>
        </w:rPr>
        <w:t xml:space="preserve">. </w:t>
      </w:r>
      <w:r w:rsidR="004E40A9" w:rsidRPr="00C57832">
        <w:rPr>
          <w:i/>
          <w:lang w:val="fr-BE"/>
        </w:rPr>
        <w:t>Voir annexe D : Spécifications des PMC.</w:t>
      </w:r>
    </w:p>
    <w:p w14:paraId="397C7E90" w14:textId="316FCEC1" w:rsidR="00681B3E" w:rsidRPr="00C57832" w:rsidRDefault="00681B3E" w:rsidP="00E00E32">
      <w:pPr>
        <w:pStyle w:val="Listenumros"/>
        <w:ind w:left="426"/>
        <w:rPr>
          <w:i/>
          <w:lang w:val="fr-BE"/>
        </w:rPr>
      </w:pPr>
    </w:p>
    <w:p w14:paraId="397C7E92" w14:textId="77777777" w:rsidR="00EA3762" w:rsidRPr="00C57832" w:rsidRDefault="00EA3762" w:rsidP="00C76C93">
      <w:pPr>
        <w:ind w:left="426"/>
        <w:rPr>
          <w:i/>
          <w:lang w:val="fr-BE"/>
        </w:rPr>
      </w:pPr>
      <w:r w:rsidRPr="00C57832">
        <w:rPr>
          <w:i/>
          <w:lang w:val="fr-BE"/>
        </w:rPr>
        <w:t xml:space="preserve">Si le PMC transite par une station de transfert proposée par le prestataire de services, ce dernier reste responsable du transfert du PMC mais aussi de la qualité des </w:t>
      </w:r>
      <w:r w:rsidR="00022839" w:rsidRPr="00C57832">
        <w:rPr>
          <w:i/>
          <w:lang w:val="fr-BE"/>
        </w:rPr>
        <w:t>PMC</w:t>
      </w:r>
      <w:r w:rsidRPr="00C57832">
        <w:rPr>
          <w:i/>
          <w:lang w:val="fr-BE"/>
        </w:rPr>
        <w:t xml:space="preserve"> </w:t>
      </w:r>
      <w:r w:rsidR="00EB7FC4" w:rsidRPr="00C57832">
        <w:rPr>
          <w:i/>
          <w:lang w:val="fr-BE"/>
        </w:rPr>
        <w:t xml:space="preserve">qui seront finalement livrés </w:t>
      </w:r>
      <w:r w:rsidRPr="00C57832">
        <w:rPr>
          <w:i/>
          <w:lang w:val="fr-BE"/>
        </w:rPr>
        <w:t>au centre de tri.</w:t>
      </w:r>
      <w:r w:rsidR="0057369C" w:rsidRPr="00C57832">
        <w:rPr>
          <w:i/>
          <w:lang w:val="fr-BE"/>
        </w:rPr>
        <w:t xml:space="preserve"> </w:t>
      </w:r>
      <w:r w:rsidR="006A767D" w:rsidRPr="00C57832">
        <w:rPr>
          <w:i/>
          <w:lang w:val="fr-BE"/>
        </w:rPr>
        <w:t xml:space="preserve">La pénalité décrite ci-dessus </w:t>
      </w:r>
      <w:r w:rsidR="00022839" w:rsidRPr="00C57832">
        <w:rPr>
          <w:i/>
          <w:lang w:val="fr-BE"/>
        </w:rPr>
        <w:t>(</w:t>
      </w:r>
      <w:r w:rsidR="006A767D" w:rsidRPr="00C57832">
        <w:rPr>
          <w:i/>
          <w:lang w:val="fr-BE"/>
        </w:rPr>
        <w:t>point 1.1.</w:t>
      </w:r>
      <w:r w:rsidR="00022839" w:rsidRPr="00C57832">
        <w:rPr>
          <w:i/>
          <w:lang w:val="fr-BE"/>
        </w:rPr>
        <w:t>)</w:t>
      </w:r>
      <w:r w:rsidR="006A767D" w:rsidRPr="00C57832">
        <w:rPr>
          <w:i/>
          <w:lang w:val="fr-BE"/>
        </w:rPr>
        <w:t xml:space="preserve"> </w:t>
      </w:r>
      <w:r w:rsidR="00022839" w:rsidRPr="00C57832">
        <w:rPr>
          <w:i/>
          <w:lang w:val="fr-BE"/>
        </w:rPr>
        <w:t>reste donc</w:t>
      </w:r>
      <w:r w:rsidR="006A767D" w:rsidRPr="00C57832">
        <w:rPr>
          <w:i/>
          <w:lang w:val="fr-BE"/>
        </w:rPr>
        <w:t xml:space="preserve"> d’application pour l’ensemble des transports qui tombent sous la responsabilité du prestataire de services soit, aussi bien les livraisons directement livrées au centre de tri (ou </w:t>
      </w:r>
      <w:r w:rsidR="00022839" w:rsidRPr="00C57832">
        <w:rPr>
          <w:i/>
          <w:lang w:val="fr-BE"/>
        </w:rPr>
        <w:t xml:space="preserve">en </w:t>
      </w:r>
      <w:r w:rsidR="006A767D" w:rsidRPr="00C57832">
        <w:rPr>
          <w:i/>
          <w:lang w:val="fr-BE"/>
        </w:rPr>
        <w:t>station de transfert</w:t>
      </w:r>
      <w:r w:rsidR="00022839" w:rsidRPr="00C57832">
        <w:rPr>
          <w:i/>
          <w:lang w:val="fr-BE"/>
        </w:rPr>
        <w:t>)</w:t>
      </w:r>
      <w:r w:rsidR="006A767D" w:rsidRPr="00C57832">
        <w:rPr>
          <w:i/>
          <w:lang w:val="fr-BE"/>
        </w:rPr>
        <w:t xml:space="preserve"> que les livraisons de PMC en provenance de la station de transfert </w:t>
      </w:r>
      <w:r w:rsidR="0057369C" w:rsidRPr="00C57832">
        <w:rPr>
          <w:i/>
          <w:lang w:val="fr-BE"/>
        </w:rPr>
        <w:t xml:space="preserve">éventuelle </w:t>
      </w:r>
      <w:r w:rsidR="006A767D" w:rsidRPr="00C57832">
        <w:rPr>
          <w:i/>
          <w:lang w:val="fr-BE"/>
        </w:rPr>
        <w:t>proposée par le prestataire de services vers le centre de tri.</w:t>
      </w:r>
    </w:p>
    <w:p w14:paraId="397C7E93" w14:textId="77777777" w:rsidR="00681B3E" w:rsidRPr="00C57832" w:rsidRDefault="00241576" w:rsidP="00BB166A">
      <w:pPr>
        <w:pStyle w:val="Listenumros"/>
        <w:numPr>
          <w:ilvl w:val="1"/>
          <w:numId w:val="8"/>
        </w:numPr>
        <w:ind w:left="1146"/>
        <w:rPr>
          <w:i/>
          <w:lang w:val="fr-BE" w:eastAsia="nl-NL"/>
        </w:rPr>
      </w:pPr>
      <w:r w:rsidRPr="00C57832">
        <w:rPr>
          <w:i/>
          <w:lang w:val="fr-BE" w:eastAsia="nl-NL"/>
        </w:rPr>
        <w:t>Analyse visuelle des sacs bleus PMC</w:t>
      </w:r>
    </w:p>
    <w:p w14:paraId="397C7E94" w14:textId="77777777" w:rsidR="003C3AAF" w:rsidRPr="00C57832" w:rsidRDefault="003C3AAF" w:rsidP="00C76C93">
      <w:pPr>
        <w:pStyle w:val="Listenumros"/>
        <w:ind w:left="1146"/>
        <w:rPr>
          <w:i/>
          <w:lang w:val="fr-BE" w:eastAsia="nl-NL"/>
        </w:rPr>
      </w:pPr>
    </w:p>
    <w:p w14:paraId="397C7E95" w14:textId="7A1D03F6" w:rsidR="00241576" w:rsidRPr="0012737C" w:rsidRDefault="006A767D" w:rsidP="00C76C93">
      <w:pPr>
        <w:ind w:left="426"/>
        <w:rPr>
          <w:i/>
          <w:lang w:val="fr-BE"/>
        </w:rPr>
      </w:pPr>
      <w:r w:rsidRPr="0012737C">
        <w:rPr>
          <w:i/>
          <w:lang w:val="fr-BE"/>
        </w:rPr>
        <w:t xml:space="preserve">Lors d’une livraison </w:t>
      </w:r>
      <w:r w:rsidR="00022839" w:rsidRPr="0012737C">
        <w:rPr>
          <w:i/>
          <w:lang w:val="fr-BE"/>
        </w:rPr>
        <w:t xml:space="preserve">directe </w:t>
      </w:r>
      <w:r w:rsidRPr="0012737C">
        <w:rPr>
          <w:i/>
          <w:lang w:val="fr-BE"/>
        </w:rPr>
        <w:t>de PMC au centre de tri (ou à la station de transfert proposée par ce dernier ou le prestataire de services), t</w:t>
      </w:r>
      <w:r w:rsidR="00A077FD" w:rsidRPr="0012737C">
        <w:rPr>
          <w:i/>
          <w:lang w:val="fr-BE"/>
        </w:rPr>
        <w:t xml:space="preserve">rente </w:t>
      </w:r>
      <w:r w:rsidR="00241576" w:rsidRPr="0012737C">
        <w:rPr>
          <w:i/>
          <w:lang w:val="fr-BE"/>
        </w:rPr>
        <w:t xml:space="preserve">sacs PMC sont pris aléatoirement dans une livraison </w:t>
      </w:r>
      <w:r w:rsidRPr="0012737C">
        <w:rPr>
          <w:i/>
          <w:lang w:val="fr-BE"/>
        </w:rPr>
        <w:t>en provenance directe d’une collecte.</w:t>
      </w:r>
      <w:r w:rsidR="00C818F6" w:rsidRPr="0012737C">
        <w:rPr>
          <w:i/>
          <w:lang w:val="fr-BE"/>
        </w:rPr>
        <w:t xml:space="preserve"> </w:t>
      </w:r>
      <w:r w:rsidR="00241576" w:rsidRPr="0012737C">
        <w:rPr>
          <w:i/>
          <w:lang w:val="fr-BE"/>
        </w:rPr>
        <w:t>Chaque face du sac est contrôlée visuellement sur base des règles de tri du citoyen. Le nombre de fautes</w:t>
      </w:r>
      <w:r w:rsidR="00B655D6" w:rsidRPr="0012737C">
        <w:rPr>
          <w:i/>
          <w:lang w:val="fr-BE"/>
        </w:rPr>
        <w:t xml:space="preserve"> vi</w:t>
      </w:r>
      <w:r w:rsidR="009B32E2" w:rsidRPr="0012737C">
        <w:rPr>
          <w:i/>
          <w:lang w:val="fr-BE"/>
        </w:rPr>
        <w:t>s</w:t>
      </w:r>
      <w:r w:rsidR="00B655D6" w:rsidRPr="0012737C">
        <w:rPr>
          <w:i/>
          <w:lang w:val="fr-BE"/>
        </w:rPr>
        <w:t>uelles</w:t>
      </w:r>
      <w:r w:rsidR="009B32E2" w:rsidRPr="0012737C">
        <w:rPr>
          <w:i/>
          <w:lang w:val="fr-BE"/>
        </w:rPr>
        <w:t>/erreurs</w:t>
      </w:r>
      <w:r w:rsidR="00241576" w:rsidRPr="0012737C">
        <w:rPr>
          <w:i/>
          <w:lang w:val="fr-BE"/>
        </w:rPr>
        <w:t xml:space="preserve"> par sac est additionné</w:t>
      </w:r>
      <w:r w:rsidR="009B32E2" w:rsidRPr="0012737C">
        <w:rPr>
          <w:i/>
          <w:lang w:val="fr-BE"/>
        </w:rPr>
        <w:t xml:space="preserve">. </w:t>
      </w:r>
      <w:r w:rsidR="00020362" w:rsidRPr="0012737C">
        <w:rPr>
          <w:i/>
          <w:lang w:val="fr-BE"/>
        </w:rPr>
        <w:t xml:space="preserve">Les non-emballages susceptibles d’être considérés comme </w:t>
      </w:r>
      <w:r w:rsidR="00C51091" w:rsidRPr="0012737C">
        <w:rPr>
          <w:i/>
          <w:lang w:val="fr-BE"/>
        </w:rPr>
        <w:t>un</w:t>
      </w:r>
      <w:r w:rsidR="00020362" w:rsidRPr="0012737C">
        <w:rPr>
          <w:i/>
          <w:lang w:val="fr-BE"/>
        </w:rPr>
        <w:t xml:space="preserve"> emballage par un </w:t>
      </w:r>
      <w:r w:rsidR="00020362" w:rsidRPr="0012737C">
        <w:rPr>
          <w:i/>
          <w:lang w:val="fr-BE"/>
        </w:rPr>
        <w:lastRenderedPageBreak/>
        <w:t xml:space="preserve">citoyen lambda (par ex. boîte à tartines, </w:t>
      </w:r>
      <w:proofErr w:type="spellStart"/>
      <w:r w:rsidR="00020362" w:rsidRPr="0012737C">
        <w:rPr>
          <w:i/>
          <w:lang w:val="fr-BE"/>
        </w:rPr>
        <w:t>tupp</w:t>
      </w:r>
      <w:r w:rsidR="00020362" w:rsidRPr="0012737C">
        <w:rPr>
          <w:i/>
          <w:szCs w:val="18"/>
          <w:lang w:val="fr-BE"/>
        </w:rPr>
        <w:t>erware</w:t>
      </w:r>
      <w:proofErr w:type="spellEnd"/>
      <w:r w:rsidR="00020362" w:rsidRPr="0012737C">
        <w:rPr>
          <w:i/>
          <w:szCs w:val="18"/>
          <w:lang w:val="fr-BE"/>
        </w:rPr>
        <w:t>) ne sont jamais</w:t>
      </w:r>
      <w:r w:rsidR="00C51091" w:rsidRPr="0012737C">
        <w:rPr>
          <w:i/>
          <w:szCs w:val="18"/>
          <w:lang w:val="fr-BE"/>
        </w:rPr>
        <w:t xml:space="preserve"> notés </w:t>
      </w:r>
      <w:r w:rsidR="00020362" w:rsidRPr="0012737C">
        <w:rPr>
          <w:i/>
          <w:szCs w:val="18"/>
          <w:lang w:val="fr-BE"/>
        </w:rPr>
        <w:t>comme faute</w:t>
      </w:r>
      <w:r w:rsidR="009B32E2" w:rsidRPr="0012737C">
        <w:rPr>
          <w:i/>
          <w:szCs w:val="18"/>
          <w:lang w:val="fr-BE"/>
        </w:rPr>
        <w:t>/erreur</w:t>
      </w:r>
      <w:r w:rsidR="00020362" w:rsidRPr="0012737C">
        <w:rPr>
          <w:i/>
          <w:szCs w:val="18"/>
          <w:lang w:val="fr-BE"/>
        </w:rPr>
        <w:t xml:space="preserve">. </w:t>
      </w:r>
      <w:r w:rsidR="007E16ED" w:rsidRPr="0012737C">
        <w:rPr>
          <w:i/>
          <w:lang w:val="fr-BE"/>
        </w:rPr>
        <w:t>C</w:t>
      </w:r>
      <w:r w:rsidR="00241576" w:rsidRPr="0012737C">
        <w:rPr>
          <w:i/>
          <w:lang w:val="fr-BE"/>
        </w:rPr>
        <w:t xml:space="preserve">haque sac est </w:t>
      </w:r>
      <w:r w:rsidR="007E16ED" w:rsidRPr="0012737C">
        <w:rPr>
          <w:i/>
          <w:lang w:val="fr-BE"/>
        </w:rPr>
        <w:t xml:space="preserve">ensuite </w:t>
      </w:r>
      <w:r w:rsidR="00241576" w:rsidRPr="0012737C">
        <w:rPr>
          <w:i/>
          <w:lang w:val="fr-BE"/>
        </w:rPr>
        <w:t>enregistré dans l’une des catégories suivantes </w:t>
      </w:r>
      <w:r w:rsidR="007E16ED" w:rsidRPr="0012737C">
        <w:rPr>
          <w:i/>
          <w:lang w:val="fr-BE"/>
        </w:rPr>
        <w:t>en fonction du nombre de fautes</w:t>
      </w:r>
      <w:r w:rsidR="009B32E2" w:rsidRPr="0012737C">
        <w:rPr>
          <w:i/>
          <w:lang w:val="fr-BE"/>
        </w:rPr>
        <w:t>/erreur</w:t>
      </w:r>
      <w:r w:rsidR="00917F99" w:rsidRPr="0012737C">
        <w:rPr>
          <w:i/>
          <w:lang w:val="fr-BE"/>
        </w:rPr>
        <w:t>s</w:t>
      </w:r>
      <w:r w:rsidR="007E16ED" w:rsidRPr="0012737C">
        <w:rPr>
          <w:i/>
          <w:lang w:val="fr-BE"/>
        </w:rPr>
        <w:t xml:space="preserve"> </w:t>
      </w:r>
      <w:r w:rsidR="00020362" w:rsidRPr="0012737C">
        <w:rPr>
          <w:i/>
          <w:lang w:val="fr-BE"/>
        </w:rPr>
        <w:t>constatées :</w:t>
      </w:r>
      <w:r w:rsidR="00241576" w:rsidRPr="0012737C">
        <w:rPr>
          <w:i/>
          <w:lang w:val="fr-BE"/>
        </w:rPr>
        <w:t xml:space="preserve"> </w:t>
      </w:r>
    </w:p>
    <w:p w14:paraId="6E1E0C74" w14:textId="4362A945" w:rsidR="00166BF4" w:rsidRPr="0012737C" w:rsidRDefault="00166BF4" w:rsidP="00166BF4">
      <w:pPr>
        <w:pStyle w:val="Paragraphedeliste"/>
        <w:numPr>
          <w:ilvl w:val="0"/>
          <w:numId w:val="7"/>
        </w:numPr>
        <w:spacing w:after="0"/>
        <w:rPr>
          <w:i/>
          <w:lang w:val="fr-BE"/>
        </w:rPr>
      </w:pPr>
      <w:r w:rsidRPr="0012737C">
        <w:rPr>
          <w:i/>
          <w:lang w:val="fr-BE"/>
        </w:rPr>
        <w:t>Catégorie 0 : Sac conforme</w:t>
      </w:r>
    </w:p>
    <w:p w14:paraId="3B0498C1" w14:textId="03E158EC" w:rsidR="00166BF4" w:rsidRPr="0012737C" w:rsidRDefault="00166BF4" w:rsidP="00166BF4">
      <w:pPr>
        <w:pStyle w:val="Paragraphedeliste"/>
        <w:numPr>
          <w:ilvl w:val="0"/>
          <w:numId w:val="7"/>
        </w:numPr>
        <w:spacing w:after="0"/>
        <w:rPr>
          <w:i/>
          <w:lang w:val="fr-BE"/>
        </w:rPr>
      </w:pPr>
      <w:r w:rsidRPr="0012737C">
        <w:rPr>
          <w:i/>
          <w:lang w:val="fr-BE"/>
        </w:rPr>
        <w:t xml:space="preserve">Catégorie 1 : Le sac contient </w:t>
      </w:r>
      <w:r w:rsidR="009B32E2" w:rsidRPr="0012737C">
        <w:rPr>
          <w:i/>
          <w:lang w:val="fr-BE"/>
        </w:rPr>
        <w:t xml:space="preserve">maximum 2 </w:t>
      </w:r>
      <w:r w:rsidRPr="0012737C">
        <w:rPr>
          <w:i/>
          <w:lang w:val="fr-BE"/>
        </w:rPr>
        <w:t>petites fautes</w:t>
      </w:r>
      <w:r w:rsidR="009B32E2" w:rsidRPr="0012737C">
        <w:rPr>
          <w:i/>
          <w:lang w:val="fr-BE"/>
        </w:rPr>
        <w:t xml:space="preserve">/erreurs </w:t>
      </w:r>
      <w:r w:rsidRPr="0012737C">
        <w:rPr>
          <w:i/>
          <w:lang w:val="fr-BE"/>
        </w:rPr>
        <w:t>qui n’entravent pas le processus de tri</w:t>
      </w:r>
      <w:r w:rsidR="009B32E2" w:rsidRPr="0012737C">
        <w:rPr>
          <w:i/>
          <w:lang w:val="fr-BE"/>
        </w:rPr>
        <w:t> ;</w:t>
      </w:r>
      <w:r w:rsidR="009B32E2" w:rsidRPr="0012737C">
        <w:rPr>
          <w:i/>
          <w:szCs w:val="18"/>
          <w:lang w:val="fr-BE"/>
        </w:rPr>
        <w:t xml:space="preserve"> </w:t>
      </w:r>
      <w:r w:rsidR="00A7279E" w:rsidRPr="0012737C">
        <w:rPr>
          <w:i/>
          <w:szCs w:val="18"/>
          <w:lang w:val="fr-BE"/>
        </w:rPr>
        <w:t>si l’on constate plus de</w:t>
      </w:r>
      <w:r w:rsidR="009B32E2" w:rsidRPr="0012737C">
        <w:rPr>
          <w:i/>
          <w:szCs w:val="18"/>
          <w:lang w:val="fr-BE"/>
        </w:rPr>
        <w:t xml:space="preserve"> 2 </w:t>
      </w:r>
      <w:r w:rsidR="00A7279E" w:rsidRPr="0012737C">
        <w:rPr>
          <w:i/>
          <w:szCs w:val="18"/>
          <w:lang w:val="fr-BE"/>
        </w:rPr>
        <w:t xml:space="preserve">fautes/erreurs </w:t>
      </w:r>
      <w:r w:rsidR="009B32E2" w:rsidRPr="0012737C">
        <w:rPr>
          <w:i/>
          <w:szCs w:val="18"/>
          <w:lang w:val="fr-BE"/>
        </w:rPr>
        <w:t>d</w:t>
      </w:r>
      <w:r w:rsidR="00A7279E" w:rsidRPr="0012737C">
        <w:rPr>
          <w:i/>
          <w:szCs w:val="18"/>
          <w:lang w:val="fr-BE"/>
        </w:rPr>
        <w:t>e ce genre</w:t>
      </w:r>
      <w:r w:rsidR="009B32E2" w:rsidRPr="0012737C">
        <w:rPr>
          <w:i/>
          <w:szCs w:val="18"/>
          <w:lang w:val="fr-BE"/>
        </w:rPr>
        <w:t xml:space="preserve">, </w:t>
      </w:r>
      <w:r w:rsidR="00E06114" w:rsidRPr="0012737C">
        <w:rPr>
          <w:i/>
          <w:szCs w:val="18"/>
          <w:lang w:val="fr-BE"/>
        </w:rPr>
        <w:t>le s</w:t>
      </w:r>
      <w:r w:rsidR="009B32E2" w:rsidRPr="0012737C">
        <w:rPr>
          <w:i/>
          <w:szCs w:val="18"/>
          <w:lang w:val="fr-BE"/>
        </w:rPr>
        <w:t>a</w:t>
      </w:r>
      <w:r w:rsidR="00E06114" w:rsidRPr="0012737C">
        <w:rPr>
          <w:i/>
          <w:szCs w:val="18"/>
          <w:lang w:val="fr-BE"/>
        </w:rPr>
        <w:t>c se retrouve e</w:t>
      </w:r>
      <w:r w:rsidR="009B32E2" w:rsidRPr="0012737C">
        <w:rPr>
          <w:i/>
          <w:szCs w:val="18"/>
          <w:lang w:val="fr-BE"/>
        </w:rPr>
        <w:t xml:space="preserve">n </w:t>
      </w:r>
      <w:r w:rsidR="00A7279E" w:rsidRPr="0012737C">
        <w:rPr>
          <w:i/>
          <w:szCs w:val="18"/>
          <w:lang w:val="fr-BE"/>
        </w:rPr>
        <w:t>catégorie</w:t>
      </w:r>
      <w:r w:rsidR="009B32E2" w:rsidRPr="0012737C">
        <w:rPr>
          <w:i/>
          <w:szCs w:val="18"/>
          <w:lang w:val="fr-BE"/>
        </w:rPr>
        <w:t xml:space="preserve"> 2</w:t>
      </w:r>
    </w:p>
    <w:p w14:paraId="1D4EAE37" w14:textId="5A2C820E" w:rsidR="00166BF4" w:rsidRPr="0012737C" w:rsidRDefault="00166BF4" w:rsidP="00166BF4">
      <w:pPr>
        <w:pStyle w:val="Paragraphedeliste"/>
        <w:numPr>
          <w:ilvl w:val="0"/>
          <w:numId w:val="7"/>
        </w:numPr>
        <w:spacing w:after="0"/>
        <w:rPr>
          <w:i/>
          <w:lang w:val="fr-BE"/>
        </w:rPr>
      </w:pPr>
      <w:r w:rsidRPr="0012737C">
        <w:rPr>
          <w:i/>
          <w:lang w:val="fr-BE"/>
        </w:rPr>
        <w:t>Catégorie 2 : Le sac contient une ou plusieurs fautes</w:t>
      </w:r>
      <w:r w:rsidR="009B32E2" w:rsidRPr="0012737C">
        <w:rPr>
          <w:i/>
          <w:lang w:val="fr-BE"/>
        </w:rPr>
        <w:t>/erreurs</w:t>
      </w:r>
      <w:r w:rsidRPr="0012737C">
        <w:rPr>
          <w:i/>
          <w:lang w:val="fr-BE"/>
        </w:rPr>
        <w:t xml:space="preserve"> </w:t>
      </w:r>
      <w:r w:rsidR="00552BB0" w:rsidRPr="0012737C">
        <w:rPr>
          <w:i/>
          <w:lang w:val="fr-BE"/>
        </w:rPr>
        <w:t xml:space="preserve">graves </w:t>
      </w:r>
      <w:r w:rsidRPr="0012737C">
        <w:rPr>
          <w:i/>
          <w:lang w:val="fr-BE"/>
        </w:rPr>
        <w:t>qui peuvent être dangereuse pour les trieurs ou gêner le processus de tri</w:t>
      </w:r>
    </w:p>
    <w:p w14:paraId="3BFC5A2F" w14:textId="006747A3" w:rsidR="00166BF4" w:rsidRPr="0012737C" w:rsidRDefault="00166BF4" w:rsidP="00E00E32">
      <w:pPr>
        <w:spacing w:after="0"/>
        <w:rPr>
          <w:i/>
          <w:lang w:val="fr-BE"/>
        </w:rPr>
      </w:pPr>
    </w:p>
    <w:p w14:paraId="12FA74ED" w14:textId="77777777" w:rsidR="00166BF4" w:rsidRPr="0012737C" w:rsidRDefault="00166BF4" w:rsidP="00166BF4">
      <w:pPr>
        <w:rPr>
          <w:i/>
          <w:lang w:val="fr-BE"/>
        </w:rPr>
      </w:pPr>
      <w:bookmarkStart w:id="113" w:name="_Hlk29456467"/>
      <w:r w:rsidRPr="0012737C">
        <w:rPr>
          <w:i/>
          <w:lang w:val="fr-BE"/>
        </w:rPr>
        <w:t xml:space="preserve">Un sac comprenant un ou deux éléments non conformes de la liste ci-dessous peut être placé dans la </w:t>
      </w:r>
      <w:r w:rsidRPr="0012737C">
        <w:rPr>
          <w:i/>
          <w:u w:val="single"/>
          <w:lang w:val="fr-BE"/>
        </w:rPr>
        <w:t>catégorie 1</w:t>
      </w:r>
      <w:r w:rsidRPr="0012737C">
        <w:rPr>
          <w:i/>
          <w:lang w:val="fr-BE"/>
        </w:rPr>
        <w:t xml:space="preserve"> : </w:t>
      </w:r>
    </w:p>
    <w:p w14:paraId="2D646444" w14:textId="77777777" w:rsidR="00166BF4" w:rsidRPr="0012737C" w:rsidRDefault="00166BF4" w:rsidP="00BB166A">
      <w:pPr>
        <w:pStyle w:val="Paragraphedeliste"/>
        <w:numPr>
          <w:ilvl w:val="0"/>
          <w:numId w:val="26"/>
        </w:numPr>
        <w:rPr>
          <w:i/>
          <w:lang w:val="fr-BE"/>
        </w:rPr>
      </w:pPr>
      <w:r w:rsidRPr="0012737C">
        <w:rPr>
          <w:i/>
          <w:lang w:val="fr-BE"/>
        </w:rPr>
        <w:t>Petit Papier-carton (moins d’une feuille A4)</w:t>
      </w:r>
    </w:p>
    <w:p w14:paraId="7F675912" w14:textId="427C81B2" w:rsidR="00166BF4" w:rsidRPr="0012737C" w:rsidRDefault="00F82CD9" w:rsidP="00BB166A">
      <w:pPr>
        <w:pStyle w:val="Paragraphedeliste"/>
        <w:numPr>
          <w:ilvl w:val="0"/>
          <w:numId w:val="26"/>
        </w:numPr>
        <w:rPr>
          <w:i/>
          <w:lang w:val="fr-BE"/>
        </w:rPr>
      </w:pPr>
      <w:r w:rsidRPr="0012737C">
        <w:rPr>
          <w:i/>
          <w:lang w:val="fr-BE"/>
        </w:rPr>
        <w:t>PSE (non alimentaire), plus petit que</w:t>
      </w:r>
      <w:r w:rsidR="00166BF4" w:rsidRPr="0012737C">
        <w:rPr>
          <w:i/>
          <w:lang w:val="fr-BE"/>
        </w:rPr>
        <w:t xml:space="preserve"> la taille d’un poing</w:t>
      </w:r>
    </w:p>
    <w:p w14:paraId="3AD0F59C" w14:textId="0BB7D5E0" w:rsidR="00166BF4" w:rsidRPr="0012737C" w:rsidRDefault="00166BF4" w:rsidP="00BB166A">
      <w:pPr>
        <w:pStyle w:val="Paragraphedeliste"/>
        <w:numPr>
          <w:ilvl w:val="0"/>
          <w:numId w:val="26"/>
        </w:numPr>
        <w:rPr>
          <w:i/>
          <w:lang w:val="fr-BE"/>
        </w:rPr>
      </w:pPr>
      <w:r w:rsidRPr="0012737C">
        <w:rPr>
          <w:i/>
          <w:lang w:val="fr-BE"/>
        </w:rPr>
        <w:t>Gobelet en carton</w:t>
      </w:r>
      <w:r w:rsidR="00F82CD9" w:rsidRPr="0012737C">
        <w:rPr>
          <w:i/>
          <w:lang w:val="fr-BE"/>
        </w:rPr>
        <w:t xml:space="preserve"> (McDonald’s, Quick, …)</w:t>
      </w:r>
    </w:p>
    <w:p w14:paraId="7D6B3510" w14:textId="77777777" w:rsidR="00166BF4" w:rsidRPr="0012737C" w:rsidRDefault="00166BF4" w:rsidP="00BB166A">
      <w:pPr>
        <w:pStyle w:val="Paragraphedeliste"/>
        <w:numPr>
          <w:ilvl w:val="0"/>
          <w:numId w:val="26"/>
        </w:numPr>
        <w:rPr>
          <w:i/>
          <w:lang w:val="fr-BE"/>
        </w:rPr>
      </w:pPr>
      <w:r w:rsidRPr="0012737C">
        <w:rPr>
          <w:i/>
          <w:lang w:val="fr-BE"/>
        </w:rPr>
        <w:t>Déchets organique (une peau de banane par ex)</w:t>
      </w:r>
    </w:p>
    <w:p w14:paraId="14DFAD63" w14:textId="77777777" w:rsidR="00166BF4" w:rsidRPr="0012737C" w:rsidRDefault="00166BF4" w:rsidP="00BB166A">
      <w:pPr>
        <w:pStyle w:val="Paragraphedeliste"/>
        <w:numPr>
          <w:ilvl w:val="0"/>
          <w:numId w:val="26"/>
        </w:numPr>
        <w:rPr>
          <w:i/>
          <w:lang w:val="fr-BE"/>
        </w:rPr>
      </w:pPr>
      <w:r w:rsidRPr="0012737C">
        <w:rPr>
          <w:i/>
          <w:lang w:val="fr-BE"/>
        </w:rPr>
        <w:t>Les imbriqués</w:t>
      </w:r>
    </w:p>
    <w:p w14:paraId="640B6B21" w14:textId="33448338" w:rsidR="00166BF4" w:rsidRPr="0012737C" w:rsidRDefault="00166BF4" w:rsidP="00BB166A">
      <w:pPr>
        <w:pStyle w:val="Paragraphedeliste"/>
        <w:numPr>
          <w:ilvl w:val="0"/>
          <w:numId w:val="26"/>
        </w:numPr>
        <w:rPr>
          <w:i/>
          <w:lang w:val="fr-BE"/>
        </w:rPr>
      </w:pPr>
      <w:r w:rsidRPr="0012737C">
        <w:rPr>
          <w:i/>
          <w:lang w:val="fr-BE"/>
        </w:rPr>
        <w:t>Plastiques durs</w:t>
      </w:r>
      <w:r w:rsidR="00F82CD9" w:rsidRPr="0012737C">
        <w:rPr>
          <w:i/>
          <w:lang w:val="fr-BE"/>
        </w:rPr>
        <w:t xml:space="preserve"> (non-emballages)</w:t>
      </w:r>
      <w:r w:rsidRPr="0012737C">
        <w:rPr>
          <w:i/>
          <w:lang w:val="fr-BE"/>
        </w:rPr>
        <w:t xml:space="preserve"> non-assimilables (petit </w:t>
      </w:r>
      <w:r w:rsidR="00E2418D" w:rsidRPr="0012737C">
        <w:rPr>
          <w:i/>
          <w:lang w:val="fr-BE"/>
        </w:rPr>
        <w:t>jouet, …</w:t>
      </w:r>
      <w:r w:rsidRPr="0012737C">
        <w:rPr>
          <w:i/>
          <w:lang w:val="fr-BE"/>
        </w:rPr>
        <w:t> ; plus petit que la taille d’un poing)</w:t>
      </w:r>
    </w:p>
    <w:p w14:paraId="2519CBB9" w14:textId="77777777" w:rsidR="00166BF4" w:rsidRPr="0012737C" w:rsidRDefault="00166BF4" w:rsidP="00166BF4">
      <w:pPr>
        <w:rPr>
          <w:i/>
          <w:lang w:val="fr-BE"/>
        </w:rPr>
      </w:pPr>
      <w:r w:rsidRPr="0012737C">
        <w:rPr>
          <w:i/>
          <w:lang w:val="fr-BE"/>
        </w:rPr>
        <w:t xml:space="preserve">Un sac comprenant même un seul élément de la liste suivante doit être placé dans la </w:t>
      </w:r>
      <w:r w:rsidRPr="0012737C">
        <w:rPr>
          <w:i/>
          <w:u w:val="single"/>
          <w:lang w:val="fr-BE"/>
        </w:rPr>
        <w:t>catégorie 2</w:t>
      </w:r>
      <w:r w:rsidRPr="0012737C">
        <w:rPr>
          <w:i/>
          <w:lang w:val="fr-BE"/>
        </w:rPr>
        <w:t xml:space="preserve"> car aurait dû être refusé à la collecte :</w:t>
      </w:r>
    </w:p>
    <w:p w14:paraId="69A93FE9" w14:textId="77777777" w:rsidR="00166BF4" w:rsidRPr="0012737C" w:rsidRDefault="00166BF4" w:rsidP="00BB166A">
      <w:pPr>
        <w:pStyle w:val="Paragraphedeliste"/>
        <w:numPr>
          <w:ilvl w:val="0"/>
          <w:numId w:val="26"/>
        </w:numPr>
        <w:rPr>
          <w:i/>
          <w:lang w:val="fr-BE"/>
        </w:rPr>
      </w:pPr>
      <w:r w:rsidRPr="0012737C">
        <w:rPr>
          <w:i/>
          <w:lang w:val="fr-BE"/>
        </w:rPr>
        <w:t xml:space="preserve">Verre </w:t>
      </w:r>
    </w:p>
    <w:p w14:paraId="1D05C755" w14:textId="77777777" w:rsidR="00166BF4" w:rsidRPr="0012737C" w:rsidRDefault="00166BF4" w:rsidP="00BB166A">
      <w:pPr>
        <w:pStyle w:val="Paragraphedeliste"/>
        <w:numPr>
          <w:ilvl w:val="0"/>
          <w:numId w:val="26"/>
        </w:numPr>
        <w:rPr>
          <w:i/>
          <w:lang w:val="fr-BE"/>
        </w:rPr>
      </w:pPr>
      <w:r w:rsidRPr="0012737C">
        <w:rPr>
          <w:i/>
          <w:lang w:val="fr-BE"/>
        </w:rPr>
        <w:t>Textile &amp; chaussures</w:t>
      </w:r>
    </w:p>
    <w:p w14:paraId="01BCBAC2" w14:textId="008B35E2" w:rsidR="00166BF4" w:rsidRPr="0012737C" w:rsidRDefault="00F82CD9" w:rsidP="00BB166A">
      <w:pPr>
        <w:pStyle w:val="Paragraphedeliste"/>
        <w:numPr>
          <w:ilvl w:val="0"/>
          <w:numId w:val="26"/>
        </w:numPr>
        <w:rPr>
          <w:i/>
          <w:lang w:val="fr-BE"/>
        </w:rPr>
      </w:pPr>
      <w:r w:rsidRPr="0012737C">
        <w:rPr>
          <w:i/>
          <w:lang w:val="fr-BE"/>
        </w:rPr>
        <w:t xml:space="preserve">PSE (non alimentaire), </w:t>
      </w:r>
      <w:r w:rsidR="00166BF4" w:rsidRPr="0012737C">
        <w:rPr>
          <w:i/>
          <w:lang w:val="fr-BE"/>
        </w:rPr>
        <w:t>plus grand que la taille d’un poing</w:t>
      </w:r>
    </w:p>
    <w:p w14:paraId="405564C4" w14:textId="77777777" w:rsidR="00166BF4" w:rsidRPr="0012737C" w:rsidRDefault="00166BF4" w:rsidP="00BB166A">
      <w:pPr>
        <w:pStyle w:val="Paragraphedeliste"/>
        <w:numPr>
          <w:ilvl w:val="0"/>
          <w:numId w:val="26"/>
        </w:numPr>
        <w:rPr>
          <w:i/>
          <w:lang w:val="fr-BE"/>
        </w:rPr>
      </w:pPr>
      <w:r w:rsidRPr="0012737C">
        <w:rPr>
          <w:i/>
          <w:lang w:val="fr-BE"/>
        </w:rPr>
        <w:t>Papier-carton (plus grand qu’une feuille A4)</w:t>
      </w:r>
    </w:p>
    <w:p w14:paraId="27078734" w14:textId="1614B183" w:rsidR="00166BF4" w:rsidRPr="0012737C" w:rsidRDefault="00166BF4" w:rsidP="00BB166A">
      <w:pPr>
        <w:pStyle w:val="Paragraphedeliste"/>
        <w:numPr>
          <w:ilvl w:val="0"/>
          <w:numId w:val="26"/>
        </w:numPr>
        <w:rPr>
          <w:i/>
          <w:lang w:val="fr-BE"/>
        </w:rPr>
      </w:pPr>
      <w:r w:rsidRPr="0012737C">
        <w:rPr>
          <w:i/>
          <w:lang w:val="fr-BE"/>
        </w:rPr>
        <w:t xml:space="preserve">Plastiques durs </w:t>
      </w:r>
      <w:r w:rsidR="005549E4" w:rsidRPr="0012737C">
        <w:rPr>
          <w:i/>
          <w:lang w:val="fr-BE"/>
        </w:rPr>
        <w:t xml:space="preserve">(non-emballages) </w:t>
      </w:r>
      <w:r w:rsidRPr="0012737C">
        <w:rPr>
          <w:i/>
          <w:lang w:val="fr-BE"/>
        </w:rPr>
        <w:t>non-assimilables (grands jouets, tuyau en plastique,</w:t>
      </w:r>
      <w:r w:rsidR="005549E4" w:rsidRPr="0012737C">
        <w:rPr>
          <w:i/>
          <w:lang w:val="fr-BE"/>
        </w:rPr>
        <w:t xml:space="preserve"> </w:t>
      </w:r>
      <w:r w:rsidRPr="0012737C">
        <w:rPr>
          <w:i/>
          <w:lang w:val="fr-BE"/>
        </w:rPr>
        <w:t>… ;</w:t>
      </w:r>
      <w:r w:rsidR="00FB59F1" w:rsidRPr="0012737C">
        <w:rPr>
          <w:i/>
          <w:lang w:val="fr-BE"/>
        </w:rPr>
        <w:t>),</w:t>
      </w:r>
      <w:r w:rsidRPr="0012737C">
        <w:rPr>
          <w:i/>
          <w:lang w:val="fr-BE"/>
        </w:rPr>
        <w:t xml:space="preserve"> plus grand q</w:t>
      </w:r>
      <w:r w:rsidR="00FB59F1" w:rsidRPr="0012737C">
        <w:rPr>
          <w:i/>
          <w:lang w:val="fr-BE"/>
        </w:rPr>
        <w:t>ue la taille d’un poing</w:t>
      </w:r>
    </w:p>
    <w:p w14:paraId="66DA91C2" w14:textId="77777777" w:rsidR="00166BF4" w:rsidRPr="0012737C" w:rsidRDefault="00166BF4" w:rsidP="00BB166A">
      <w:pPr>
        <w:pStyle w:val="Paragraphedeliste"/>
        <w:numPr>
          <w:ilvl w:val="0"/>
          <w:numId w:val="26"/>
        </w:numPr>
        <w:rPr>
          <w:i/>
          <w:lang w:val="fr-BE"/>
        </w:rPr>
      </w:pPr>
      <w:r w:rsidRPr="0012737C">
        <w:rPr>
          <w:i/>
          <w:lang w:val="fr-BE"/>
        </w:rPr>
        <w:t>Appareil électro</w:t>
      </w:r>
    </w:p>
    <w:p w14:paraId="77EE820A" w14:textId="7F6E46C2" w:rsidR="00A40E9B" w:rsidRPr="0012737C" w:rsidRDefault="00166BF4" w:rsidP="00BB166A">
      <w:pPr>
        <w:pStyle w:val="Paragraphedeliste"/>
        <w:numPr>
          <w:ilvl w:val="0"/>
          <w:numId w:val="26"/>
        </w:numPr>
        <w:rPr>
          <w:i/>
          <w:lang w:val="fr-BE"/>
        </w:rPr>
      </w:pPr>
      <w:r w:rsidRPr="0012737C">
        <w:rPr>
          <w:i/>
          <w:lang w:val="fr-BE"/>
        </w:rPr>
        <w:t xml:space="preserve">Sac rempli </w:t>
      </w:r>
      <w:r w:rsidR="002767F6" w:rsidRPr="0012737C">
        <w:rPr>
          <w:i/>
          <w:lang w:val="fr-BE"/>
        </w:rPr>
        <w:t xml:space="preserve">à l’intérieur </w:t>
      </w:r>
      <w:r w:rsidR="00A90063" w:rsidRPr="0012737C">
        <w:rPr>
          <w:i/>
          <w:lang w:val="fr-BE"/>
        </w:rPr>
        <w:t>du</w:t>
      </w:r>
      <w:r w:rsidRPr="0012737C">
        <w:rPr>
          <w:i/>
          <w:lang w:val="fr-BE"/>
        </w:rPr>
        <w:t xml:space="preserve"> le sac PMC </w:t>
      </w:r>
    </w:p>
    <w:p w14:paraId="6626D0E3" w14:textId="5647B85A" w:rsidR="00A40E9B" w:rsidRPr="0012737C" w:rsidRDefault="00A90063" w:rsidP="00BB166A">
      <w:pPr>
        <w:pStyle w:val="Paragraphedeliste"/>
        <w:numPr>
          <w:ilvl w:val="0"/>
          <w:numId w:val="26"/>
        </w:numPr>
        <w:rPr>
          <w:i/>
          <w:lang w:val="fr-BE"/>
        </w:rPr>
      </w:pPr>
      <w:r w:rsidRPr="0012737C">
        <w:rPr>
          <w:i/>
          <w:lang w:val="fr-BE"/>
        </w:rPr>
        <w:t>Emballage</w:t>
      </w:r>
      <w:r w:rsidR="00166BF4" w:rsidRPr="0012737C">
        <w:rPr>
          <w:i/>
          <w:lang w:val="fr-BE"/>
        </w:rPr>
        <w:t xml:space="preserve"> attaché au sac PMC</w:t>
      </w:r>
    </w:p>
    <w:p w14:paraId="25A07126" w14:textId="49FAA34E" w:rsidR="00166BF4" w:rsidRPr="0012737C" w:rsidRDefault="00BA5AF0" w:rsidP="00BB166A">
      <w:pPr>
        <w:pStyle w:val="Paragraphedeliste"/>
        <w:numPr>
          <w:ilvl w:val="0"/>
          <w:numId w:val="26"/>
        </w:numPr>
        <w:rPr>
          <w:i/>
          <w:lang w:val="fr-BE"/>
        </w:rPr>
      </w:pPr>
      <w:r w:rsidRPr="0012737C">
        <w:rPr>
          <w:i/>
          <w:lang w:val="fr-BE"/>
        </w:rPr>
        <w:t xml:space="preserve">Bouteille </w:t>
      </w:r>
      <w:r w:rsidR="0024540A" w:rsidRPr="0012737C">
        <w:rPr>
          <w:i/>
          <w:lang w:val="fr-BE"/>
        </w:rPr>
        <w:t>avec sécurité</w:t>
      </w:r>
      <w:r w:rsidR="00217FF5" w:rsidRPr="0012737C">
        <w:rPr>
          <w:i/>
          <w:lang w:val="fr-BE"/>
        </w:rPr>
        <w:t xml:space="preserve"> </w:t>
      </w:r>
      <w:r w:rsidR="005724D6" w:rsidRPr="0012737C">
        <w:rPr>
          <w:i/>
          <w:lang w:val="fr-BE"/>
        </w:rPr>
        <w:t>enfant (bouchon à pousser et tourner</w:t>
      </w:r>
      <w:r w:rsidR="00A40E9B" w:rsidRPr="0012737C">
        <w:rPr>
          <w:rFonts w:cs="Verdana"/>
          <w:i/>
          <w:szCs w:val="18"/>
          <w:lang w:val="fr-BE"/>
        </w:rPr>
        <w:t>)</w:t>
      </w:r>
    </w:p>
    <w:bookmarkEnd w:id="113"/>
    <w:p w14:paraId="066D9389" w14:textId="1B953641" w:rsidR="00B6079D" w:rsidRPr="00C57832" w:rsidRDefault="00B6079D" w:rsidP="00E00E32">
      <w:pPr>
        <w:spacing w:after="0"/>
        <w:rPr>
          <w:i/>
          <w:lang w:val="fr-BE"/>
        </w:rPr>
      </w:pPr>
    </w:p>
    <w:p w14:paraId="397C7E9A" w14:textId="77777777" w:rsidR="007F5E32" w:rsidRPr="0012737C" w:rsidRDefault="007F5E32" w:rsidP="00482E72">
      <w:pPr>
        <w:rPr>
          <w:i/>
          <w:lang w:val="fr-BE"/>
        </w:rPr>
      </w:pPr>
      <w:r w:rsidRPr="00C57832">
        <w:rPr>
          <w:i/>
          <w:lang w:val="fr-BE"/>
        </w:rPr>
        <w:t>Sur base de ces cat</w:t>
      </w:r>
      <w:r w:rsidR="00294596" w:rsidRPr="00C57832">
        <w:rPr>
          <w:i/>
          <w:lang w:val="fr-BE"/>
        </w:rPr>
        <w:t>égories et du nombre de sacs en</w:t>
      </w:r>
      <w:r w:rsidRPr="00C57832">
        <w:rPr>
          <w:i/>
          <w:lang w:val="fr-BE"/>
        </w:rPr>
        <w:t xml:space="preserve">registrés dans celles-ci, les amendes suivantes </w:t>
      </w:r>
      <w:r w:rsidR="00A077FD" w:rsidRPr="00C57832">
        <w:rPr>
          <w:i/>
          <w:lang w:val="fr-BE"/>
        </w:rPr>
        <w:t xml:space="preserve">peuvent être </w:t>
      </w:r>
      <w:r w:rsidRPr="00C57832">
        <w:rPr>
          <w:i/>
          <w:lang w:val="fr-BE"/>
        </w:rPr>
        <w:t xml:space="preserve">infligées au </w:t>
      </w:r>
      <w:r w:rsidRPr="0012737C">
        <w:rPr>
          <w:i/>
          <w:lang w:val="fr-BE"/>
        </w:rPr>
        <w:t>prestataire de service :</w:t>
      </w:r>
    </w:p>
    <w:p w14:paraId="105E72D0" w14:textId="7F15F2BC" w:rsidR="00D9675B" w:rsidRPr="00C57832" w:rsidRDefault="00D9675B" w:rsidP="00482E72">
      <w:pPr>
        <w:pStyle w:val="Paragraphedeliste"/>
        <w:numPr>
          <w:ilvl w:val="0"/>
          <w:numId w:val="7"/>
        </w:numPr>
        <w:ind w:left="712"/>
        <w:rPr>
          <w:i/>
          <w:lang w:val="fr-BE"/>
        </w:rPr>
      </w:pPr>
      <w:r w:rsidRPr="0012737C">
        <w:rPr>
          <w:i/>
          <w:lang w:val="fr-BE"/>
        </w:rPr>
        <w:t xml:space="preserve">Catégorie </w:t>
      </w:r>
      <w:r w:rsidR="00E51EDA" w:rsidRPr="0012737C">
        <w:rPr>
          <w:i/>
          <w:lang w:val="fr-BE"/>
        </w:rPr>
        <w:t>2</w:t>
      </w:r>
      <w:r w:rsidRPr="0012737C">
        <w:rPr>
          <w:i/>
          <w:lang w:val="fr-BE"/>
        </w:rPr>
        <w:t xml:space="preserve"> : </w:t>
      </w:r>
      <w:r w:rsidR="00E51EDA" w:rsidRPr="0012737C">
        <w:rPr>
          <w:i/>
          <w:lang w:val="fr-BE"/>
        </w:rPr>
        <w:t>20 EUR</w:t>
      </w:r>
      <w:r w:rsidRPr="0012737C">
        <w:rPr>
          <w:i/>
          <w:lang w:val="fr-BE"/>
        </w:rPr>
        <w:t>/sac</w:t>
      </w:r>
      <w:r w:rsidRPr="00C57832">
        <w:rPr>
          <w:i/>
          <w:lang w:val="fr-BE"/>
        </w:rPr>
        <w:t xml:space="preserve"> </w:t>
      </w:r>
      <w:r w:rsidR="00E51EDA" w:rsidRPr="00C25E01">
        <w:rPr>
          <w:i/>
          <w:highlight w:val="yellow"/>
          <w:lang w:val="fr-BE"/>
        </w:rPr>
        <w:t>[</w:t>
      </w:r>
      <w:r w:rsidR="00047F6B" w:rsidRPr="00C25E01">
        <w:rPr>
          <w:i/>
          <w:highlight w:val="yellow"/>
          <w:lang w:val="fr-BE"/>
        </w:rPr>
        <w:t>le Comité mixte</w:t>
      </w:r>
      <w:r w:rsidR="00E51EDA" w:rsidRPr="00C25E01">
        <w:rPr>
          <w:i/>
          <w:highlight w:val="yellow"/>
          <w:lang w:val="fr-BE"/>
        </w:rPr>
        <w:t xml:space="preserve"> </w:t>
      </w:r>
      <w:r w:rsidR="00D50A9A" w:rsidRPr="00C25E01">
        <w:rPr>
          <w:i/>
          <w:highlight w:val="yellow"/>
          <w:lang w:val="fr-BE"/>
        </w:rPr>
        <w:t>étudiera une hausse jusqu’à</w:t>
      </w:r>
      <w:r w:rsidR="00E51EDA" w:rsidRPr="00C25E01">
        <w:rPr>
          <w:i/>
          <w:highlight w:val="yellow"/>
          <w:lang w:val="fr-BE"/>
        </w:rPr>
        <w:t xml:space="preserve"> 50 EUR]</w:t>
      </w:r>
    </w:p>
    <w:p w14:paraId="3FBC9EF2" w14:textId="44296BED" w:rsidR="00F86766" w:rsidRPr="0012737C" w:rsidRDefault="00F86766" w:rsidP="00BB166A">
      <w:pPr>
        <w:pStyle w:val="Listenumros"/>
        <w:numPr>
          <w:ilvl w:val="0"/>
          <w:numId w:val="14"/>
        </w:numPr>
        <w:spacing w:after="240"/>
        <w:rPr>
          <w:lang w:val="fr-BE" w:eastAsia="nl-NL"/>
        </w:rPr>
      </w:pPr>
      <w:r w:rsidRPr="0012737C">
        <w:rPr>
          <w:lang w:val="fr-BE" w:eastAsia="nl-NL"/>
        </w:rPr>
        <w:t>Si dans la station de transfert éventuelle une forte contamination du stock de PMC non trié (plus de 15 sacs PMC) du présent Marché est constatée dans le stock de PMC non trié d’un autre projet, ou vice versa, une pénalité de 125 EUR par constatation peut être infligée au prestataire de services. En cas de répétition de l’infraction, une pénalité de 185 EUR peut être infligée au prestataire de services.</w:t>
      </w:r>
      <w:r w:rsidR="00DF3758" w:rsidRPr="0012737C">
        <w:rPr>
          <w:lang w:val="fr-BE" w:eastAsia="nl-NL"/>
        </w:rPr>
        <w:t xml:space="preserve"> Cette pénalité peut aussi être appliquée pour une contamination du stock de PMC non trié par un stock voisin non-PMC (papier-carton, films industriels, bois, …)</w:t>
      </w:r>
    </w:p>
    <w:p w14:paraId="397C7E9D" w14:textId="23C2D955" w:rsidR="00523792" w:rsidRPr="00C57832" w:rsidRDefault="006B4934" w:rsidP="00BB166A">
      <w:pPr>
        <w:pStyle w:val="Listenumros"/>
        <w:numPr>
          <w:ilvl w:val="0"/>
          <w:numId w:val="14"/>
        </w:numPr>
        <w:spacing w:after="240"/>
        <w:rPr>
          <w:lang w:val="fr-BE" w:eastAsia="nl-NL"/>
        </w:rPr>
      </w:pPr>
      <w:r w:rsidRPr="00C57832">
        <w:rPr>
          <w:lang w:val="fr-BE" w:eastAsia="nl-NL"/>
        </w:rPr>
        <w:t xml:space="preserve">Sauf en cas de grève ou de circonstances exceptionnelles qui rendent la collecte impossible ou dangereuse, les pénalités suivantes </w:t>
      </w:r>
      <w:r w:rsidR="00A077FD" w:rsidRPr="00C57832">
        <w:rPr>
          <w:lang w:val="fr-BE" w:eastAsia="nl-NL"/>
        </w:rPr>
        <w:t xml:space="preserve">peuvent être </w:t>
      </w:r>
      <w:r w:rsidRPr="00C57832">
        <w:rPr>
          <w:lang w:val="fr-BE" w:eastAsia="nl-NL"/>
        </w:rPr>
        <w:t>d'application :</w:t>
      </w:r>
      <w:r w:rsidR="001E02C1" w:rsidRPr="00C57832">
        <w:rPr>
          <w:lang w:val="fr-BE" w:eastAsia="nl-NL"/>
        </w:rPr>
        <w:t xml:space="preserve"> </w:t>
      </w:r>
      <w:r w:rsidR="00736BFC" w:rsidRPr="00C57832">
        <w:rPr>
          <w:lang w:val="fr-BE" w:eastAsia="nl-NL"/>
        </w:rPr>
        <w:t>50</w:t>
      </w:r>
      <w:r w:rsidR="00486C26" w:rsidRPr="00C57832">
        <w:rPr>
          <w:lang w:val="fr-BE" w:eastAsia="nl-NL"/>
        </w:rPr>
        <w:t xml:space="preserve"> EUR d’amende par point de collecte non-desservi à temps et par jour de </w:t>
      </w:r>
      <w:r w:rsidR="001532DE" w:rsidRPr="00C57832">
        <w:rPr>
          <w:lang w:val="fr-BE" w:eastAsia="nl-NL"/>
        </w:rPr>
        <w:t>retard et</w:t>
      </w:r>
      <w:r w:rsidR="00486C26" w:rsidRPr="00C57832">
        <w:rPr>
          <w:lang w:val="fr-BE" w:eastAsia="nl-NL"/>
        </w:rPr>
        <w:t xml:space="preserve"> </w:t>
      </w:r>
      <w:r w:rsidR="00736BFC" w:rsidRPr="00C57832">
        <w:rPr>
          <w:lang w:val="fr-BE" w:eastAsia="nl-NL"/>
        </w:rPr>
        <w:t>75</w:t>
      </w:r>
      <w:r w:rsidR="00E03C1A" w:rsidRPr="00C57832">
        <w:rPr>
          <w:lang w:val="fr-BE" w:eastAsia="nl-NL"/>
        </w:rPr>
        <w:t xml:space="preserve"> EUR d’amende par point de collecte non-desservi </w:t>
      </w:r>
      <w:r w:rsidR="00486C26" w:rsidRPr="00C57832">
        <w:rPr>
          <w:lang w:val="fr-BE" w:eastAsia="nl-NL"/>
        </w:rPr>
        <w:t xml:space="preserve">à temps </w:t>
      </w:r>
      <w:r w:rsidR="00E03C1A" w:rsidRPr="00C57832">
        <w:rPr>
          <w:lang w:val="fr-BE" w:eastAsia="nl-NL"/>
        </w:rPr>
        <w:t>et par jour de retard</w:t>
      </w:r>
      <w:r w:rsidR="005458BF" w:rsidRPr="00C57832">
        <w:rPr>
          <w:lang w:val="fr-BE" w:eastAsia="nl-NL"/>
        </w:rPr>
        <w:t xml:space="preserve"> en cas de </w:t>
      </w:r>
      <w:r w:rsidR="00E03C1A" w:rsidRPr="00C57832">
        <w:rPr>
          <w:lang w:val="fr-BE" w:eastAsia="nl-NL"/>
        </w:rPr>
        <w:t>répétiti</w:t>
      </w:r>
      <w:r w:rsidR="00621756" w:rsidRPr="00C57832">
        <w:rPr>
          <w:lang w:val="fr-BE" w:eastAsia="nl-NL"/>
        </w:rPr>
        <w:t>on de l’infraction sur le même point de collecte lors de</w:t>
      </w:r>
      <w:r w:rsidR="00FB73B9" w:rsidRPr="00C57832">
        <w:rPr>
          <w:lang w:val="fr-BE" w:eastAsia="nl-NL"/>
        </w:rPr>
        <w:t xml:space="preserve">s trois </w:t>
      </w:r>
      <w:r w:rsidR="00621756" w:rsidRPr="00C57832">
        <w:rPr>
          <w:lang w:val="fr-BE" w:eastAsia="nl-NL"/>
        </w:rPr>
        <w:t>collecte</w:t>
      </w:r>
      <w:r w:rsidR="00FB73B9" w:rsidRPr="00C57832">
        <w:rPr>
          <w:lang w:val="fr-BE" w:eastAsia="nl-NL"/>
        </w:rPr>
        <w:t>s</w:t>
      </w:r>
      <w:r w:rsidR="00621756" w:rsidRPr="00C57832">
        <w:rPr>
          <w:lang w:val="fr-BE" w:eastAsia="nl-NL"/>
        </w:rPr>
        <w:t xml:space="preserve"> suivante</w:t>
      </w:r>
      <w:r w:rsidR="00FB73B9" w:rsidRPr="00C57832">
        <w:rPr>
          <w:lang w:val="fr-BE" w:eastAsia="nl-NL"/>
        </w:rPr>
        <w:t>s</w:t>
      </w:r>
      <w:r w:rsidR="00621756" w:rsidRPr="00C57832">
        <w:rPr>
          <w:lang w:val="fr-BE" w:eastAsia="nl-NL"/>
        </w:rPr>
        <w:t>.</w:t>
      </w:r>
    </w:p>
    <w:p w14:paraId="397C7E9E" w14:textId="10827637" w:rsidR="006B4934" w:rsidRPr="00C57832" w:rsidRDefault="006B4934" w:rsidP="00BB166A">
      <w:pPr>
        <w:pStyle w:val="Listenumros"/>
        <w:numPr>
          <w:ilvl w:val="0"/>
          <w:numId w:val="14"/>
        </w:numPr>
        <w:spacing w:after="240"/>
        <w:rPr>
          <w:lang w:val="fr-BE" w:eastAsia="nl-NL"/>
        </w:rPr>
      </w:pPr>
      <w:r w:rsidRPr="00C57832">
        <w:rPr>
          <w:lang w:val="fr-BE" w:eastAsia="nl-NL"/>
        </w:rPr>
        <w:lastRenderedPageBreak/>
        <w:t xml:space="preserve">S’il est constaté que la collecte est effectuée par du personnel équipé de façon non réglementaire, par un véhicule non réglementaire, un véhicule en mauvais état de fonctionnement ou d’entretien, </w:t>
      </w:r>
      <w:r w:rsidR="00FB73B9" w:rsidRPr="00C57832">
        <w:rPr>
          <w:lang w:val="fr-BE" w:eastAsia="nl-NL"/>
        </w:rPr>
        <w:t xml:space="preserve">un véhicule </w:t>
      </w:r>
      <w:r w:rsidRPr="00C57832">
        <w:rPr>
          <w:lang w:val="fr-BE" w:eastAsia="nl-NL"/>
        </w:rPr>
        <w:t xml:space="preserve">souillé, ou dont les produits tombent sur le sol, une amende de 250 EUR </w:t>
      </w:r>
      <w:r w:rsidR="00A077FD" w:rsidRPr="00C57832">
        <w:rPr>
          <w:lang w:val="fr-BE" w:eastAsia="nl-NL"/>
        </w:rPr>
        <w:t>peut être</w:t>
      </w:r>
      <w:r w:rsidRPr="00C57832">
        <w:rPr>
          <w:lang w:val="fr-BE" w:eastAsia="nl-NL"/>
        </w:rPr>
        <w:t xml:space="preserve"> infligée au prestataire de services par constatation et par tournée de collecte</w:t>
      </w:r>
      <w:r w:rsidR="00CE5D5E" w:rsidRPr="00C57832">
        <w:rPr>
          <w:lang w:val="fr-BE" w:eastAsia="nl-NL"/>
        </w:rPr>
        <w:t>.</w:t>
      </w:r>
      <w:r w:rsidR="00B074C5" w:rsidRPr="00C57832">
        <w:rPr>
          <w:lang w:val="fr-BE" w:eastAsia="nl-NL"/>
        </w:rPr>
        <w:t xml:space="preserve"> </w:t>
      </w:r>
      <w:r w:rsidR="00736BFC" w:rsidRPr="00C57832">
        <w:rPr>
          <w:lang w:val="fr-BE" w:eastAsia="nl-NL"/>
        </w:rPr>
        <w:t>En cas de répétition d</w:t>
      </w:r>
      <w:r w:rsidR="00CE5D5E" w:rsidRPr="00C57832">
        <w:rPr>
          <w:lang w:val="fr-BE" w:eastAsia="nl-NL"/>
        </w:rPr>
        <w:t xml:space="preserve">’une telle </w:t>
      </w:r>
      <w:r w:rsidR="00736BFC" w:rsidRPr="00C57832">
        <w:rPr>
          <w:lang w:val="fr-BE" w:eastAsia="nl-NL"/>
        </w:rPr>
        <w:t>infraction endéans les 2 semaines</w:t>
      </w:r>
      <w:r w:rsidR="00CB126B" w:rsidRPr="00C57832">
        <w:rPr>
          <w:lang w:val="fr-BE" w:eastAsia="nl-NL"/>
        </w:rPr>
        <w:t xml:space="preserve"> </w:t>
      </w:r>
      <w:r w:rsidR="00B074C5" w:rsidRPr="00C57832">
        <w:rPr>
          <w:lang w:val="fr-BE" w:eastAsia="nl-NL"/>
        </w:rPr>
        <w:t xml:space="preserve">qui </w:t>
      </w:r>
      <w:r w:rsidR="00CB126B" w:rsidRPr="00C57832">
        <w:rPr>
          <w:lang w:val="fr-BE" w:eastAsia="nl-NL"/>
        </w:rPr>
        <w:t>suiv</w:t>
      </w:r>
      <w:r w:rsidR="00B074C5" w:rsidRPr="00C57832">
        <w:rPr>
          <w:lang w:val="fr-BE" w:eastAsia="nl-NL"/>
        </w:rPr>
        <w:t>ent la 1</w:t>
      </w:r>
      <w:r w:rsidR="00B074C5" w:rsidRPr="00C57832">
        <w:rPr>
          <w:vertAlign w:val="superscript"/>
          <w:lang w:val="fr-BE" w:eastAsia="nl-NL"/>
        </w:rPr>
        <w:t>ère</w:t>
      </w:r>
      <w:r w:rsidR="00B074C5" w:rsidRPr="00C57832">
        <w:rPr>
          <w:lang w:val="fr-BE" w:eastAsia="nl-NL"/>
        </w:rPr>
        <w:t xml:space="preserve"> infraction,</w:t>
      </w:r>
      <w:r w:rsidR="00736BFC" w:rsidRPr="00C57832">
        <w:rPr>
          <w:lang w:val="fr-BE" w:eastAsia="nl-NL"/>
        </w:rPr>
        <w:t xml:space="preserve"> une amende de 375 EUR</w:t>
      </w:r>
      <w:r w:rsidR="00294596" w:rsidRPr="00C57832">
        <w:rPr>
          <w:lang w:val="fr-BE" w:eastAsia="nl-NL"/>
        </w:rPr>
        <w:t xml:space="preserve"> par constatation et par tournée</w:t>
      </w:r>
      <w:r w:rsidR="00736BFC" w:rsidRPr="00C57832">
        <w:rPr>
          <w:lang w:val="fr-BE" w:eastAsia="nl-NL"/>
        </w:rPr>
        <w:t xml:space="preserve"> </w:t>
      </w:r>
      <w:r w:rsidR="00A077FD" w:rsidRPr="00C57832">
        <w:rPr>
          <w:lang w:val="fr-BE" w:eastAsia="nl-NL"/>
        </w:rPr>
        <w:t xml:space="preserve">peut être </w:t>
      </w:r>
      <w:r w:rsidR="00736BFC" w:rsidRPr="00C57832">
        <w:rPr>
          <w:lang w:val="fr-BE" w:eastAsia="nl-NL"/>
        </w:rPr>
        <w:t xml:space="preserve">infligée au prestataire de services. </w:t>
      </w:r>
    </w:p>
    <w:p w14:paraId="397C7E9F" w14:textId="09517F46" w:rsidR="00736BFC" w:rsidRPr="00C57832" w:rsidRDefault="006B4934" w:rsidP="00BB166A">
      <w:pPr>
        <w:pStyle w:val="Listenumros"/>
        <w:numPr>
          <w:ilvl w:val="0"/>
          <w:numId w:val="14"/>
        </w:numPr>
        <w:spacing w:after="240"/>
        <w:rPr>
          <w:lang w:val="fr-BE" w:eastAsia="nl-NL"/>
        </w:rPr>
      </w:pPr>
      <w:r w:rsidRPr="00C57832">
        <w:rPr>
          <w:lang w:val="fr-BE" w:eastAsia="nl-NL"/>
        </w:rPr>
        <w:t xml:space="preserve">S’il est constaté au changement d’un conteneur sur un </w:t>
      </w:r>
      <w:proofErr w:type="spellStart"/>
      <w:r w:rsidR="00872188" w:rsidRPr="00C57832">
        <w:rPr>
          <w:lang w:val="fr-BE" w:eastAsia="nl-NL"/>
        </w:rPr>
        <w:t>recyparc</w:t>
      </w:r>
      <w:proofErr w:type="spellEnd"/>
      <w:r w:rsidRPr="00C57832">
        <w:rPr>
          <w:lang w:val="fr-BE" w:eastAsia="nl-NL"/>
        </w:rPr>
        <w:t xml:space="preserve"> que le conteneur a été remplacé par un conteneur sale ou mal vidé, une amende de </w:t>
      </w:r>
      <w:r w:rsidR="00736BFC" w:rsidRPr="00C57832">
        <w:rPr>
          <w:lang w:val="fr-BE" w:eastAsia="nl-NL"/>
        </w:rPr>
        <w:t>250</w:t>
      </w:r>
      <w:r w:rsidRPr="00C57832">
        <w:rPr>
          <w:lang w:val="fr-BE" w:eastAsia="nl-NL"/>
        </w:rPr>
        <w:t xml:space="preserve"> EUR </w:t>
      </w:r>
      <w:r w:rsidR="00A077FD" w:rsidRPr="00C57832">
        <w:rPr>
          <w:lang w:val="fr-BE" w:eastAsia="nl-NL"/>
        </w:rPr>
        <w:t xml:space="preserve">peut être </w:t>
      </w:r>
      <w:r w:rsidRPr="00C57832">
        <w:rPr>
          <w:lang w:val="fr-BE" w:eastAsia="nl-NL"/>
        </w:rPr>
        <w:t>infligée par conteneur au prestataire de services.</w:t>
      </w:r>
      <w:r w:rsidR="00736BFC" w:rsidRPr="00C57832">
        <w:rPr>
          <w:lang w:val="fr-BE" w:eastAsia="nl-NL"/>
        </w:rPr>
        <w:t xml:space="preserve"> En cas de répétition de </w:t>
      </w:r>
      <w:r w:rsidR="005C2F3D" w:rsidRPr="00C57832">
        <w:rPr>
          <w:lang w:val="fr-BE" w:eastAsia="nl-NL"/>
        </w:rPr>
        <w:t>cette</w:t>
      </w:r>
      <w:r w:rsidR="00CE5D5E" w:rsidRPr="00C57832">
        <w:rPr>
          <w:lang w:val="fr-BE" w:eastAsia="nl-NL"/>
        </w:rPr>
        <w:t xml:space="preserve"> </w:t>
      </w:r>
      <w:r w:rsidR="00736BFC" w:rsidRPr="00C57832">
        <w:rPr>
          <w:lang w:val="fr-BE" w:eastAsia="nl-NL"/>
        </w:rPr>
        <w:t xml:space="preserve">infraction endéans les 2 semaines </w:t>
      </w:r>
      <w:r w:rsidR="00B074C5" w:rsidRPr="00C57832">
        <w:rPr>
          <w:lang w:val="fr-BE" w:eastAsia="nl-NL"/>
        </w:rPr>
        <w:t>qui suivent la 1</w:t>
      </w:r>
      <w:r w:rsidR="00B074C5" w:rsidRPr="00C57832">
        <w:rPr>
          <w:vertAlign w:val="superscript"/>
          <w:lang w:val="fr-BE" w:eastAsia="nl-NL"/>
        </w:rPr>
        <w:t xml:space="preserve">ère </w:t>
      </w:r>
      <w:r w:rsidR="00B074C5" w:rsidRPr="00C57832">
        <w:rPr>
          <w:lang w:val="fr-BE" w:eastAsia="nl-NL"/>
        </w:rPr>
        <w:t>infraction</w:t>
      </w:r>
      <w:r w:rsidR="00736BFC" w:rsidRPr="00C57832">
        <w:rPr>
          <w:lang w:val="fr-BE" w:eastAsia="nl-NL"/>
        </w:rPr>
        <w:t xml:space="preserve">, une amende de 375 EUR </w:t>
      </w:r>
      <w:r w:rsidR="00A077FD" w:rsidRPr="00C57832">
        <w:rPr>
          <w:lang w:val="fr-BE" w:eastAsia="nl-NL"/>
        </w:rPr>
        <w:t xml:space="preserve">peut être </w:t>
      </w:r>
      <w:r w:rsidR="00736BFC" w:rsidRPr="00C57832">
        <w:rPr>
          <w:lang w:val="fr-BE" w:eastAsia="nl-NL"/>
        </w:rPr>
        <w:t xml:space="preserve">infligée au prestataire de services. </w:t>
      </w:r>
    </w:p>
    <w:p w14:paraId="397C7EA0" w14:textId="25571329" w:rsidR="00084048" w:rsidRPr="00C57832" w:rsidRDefault="006B4934" w:rsidP="00BB166A">
      <w:pPr>
        <w:pStyle w:val="Listenumros"/>
        <w:numPr>
          <w:ilvl w:val="0"/>
          <w:numId w:val="14"/>
        </w:numPr>
        <w:spacing w:after="240"/>
        <w:rPr>
          <w:lang w:val="fr-BE" w:eastAsia="nl-NL"/>
        </w:rPr>
      </w:pPr>
      <w:r w:rsidRPr="00C57832">
        <w:rPr>
          <w:lang w:val="fr-BE" w:eastAsia="nl-NL"/>
        </w:rPr>
        <w:t>S'il y a eu une demande de v</w:t>
      </w:r>
      <w:r w:rsidR="002E6479" w:rsidRPr="00C57832">
        <w:rPr>
          <w:lang w:val="fr-BE" w:eastAsia="nl-NL"/>
        </w:rPr>
        <w:t>ersage</w:t>
      </w:r>
      <w:r w:rsidRPr="00C57832">
        <w:rPr>
          <w:lang w:val="fr-BE" w:eastAsia="nl-NL"/>
        </w:rPr>
        <w:t xml:space="preserve"> pour un conteneur de PMC dans un </w:t>
      </w:r>
      <w:proofErr w:type="spellStart"/>
      <w:r w:rsidR="00872188" w:rsidRPr="00C57832">
        <w:rPr>
          <w:lang w:val="fr-BE" w:eastAsia="nl-NL"/>
        </w:rPr>
        <w:t>recyparc</w:t>
      </w:r>
      <w:proofErr w:type="spellEnd"/>
      <w:r w:rsidRPr="00C57832">
        <w:rPr>
          <w:lang w:val="fr-BE" w:eastAsia="nl-NL"/>
        </w:rPr>
        <w:t xml:space="preserve"> et que le délai de v</w:t>
      </w:r>
      <w:r w:rsidR="002E6479" w:rsidRPr="00C57832">
        <w:rPr>
          <w:lang w:val="fr-BE" w:eastAsia="nl-NL"/>
        </w:rPr>
        <w:t>ersage</w:t>
      </w:r>
      <w:r w:rsidRPr="00C57832">
        <w:rPr>
          <w:lang w:val="fr-BE" w:eastAsia="nl-NL"/>
        </w:rPr>
        <w:t xml:space="preserve"> prévu à l'article 19.4 a été dépassé, une amende de </w:t>
      </w:r>
      <w:r w:rsidR="00736BFC" w:rsidRPr="00C57832">
        <w:rPr>
          <w:lang w:val="fr-BE" w:eastAsia="nl-NL"/>
        </w:rPr>
        <w:t>150</w:t>
      </w:r>
      <w:r w:rsidRPr="00C57832">
        <w:rPr>
          <w:lang w:val="fr-BE" w:eastAsia="nl-NL"/>
        </w:rPr>
        <w:t xml:space="preserve"> EUR </w:t>
      </w:r>
      <w:r w:rsidR="00A077FD" w:rsidRPr="00C57832">
        <w:rPr>
          <w:lang w:val="fr-BE" w:eastAsia="nl-NL"/>
        </w:rPr>
        <w:t>peut être</w:t>
      </w:r>
      <w:r w:rsidRPr="00C57832">
        <w:rPr>
          <w:lang w:val="fr-BE" w:eastAsia="nl-NL"/>
        </w:rPr>
        <w:t xml:space="preserve"> infligée au prestataire de services p</w:t>
      </w:r>
      <w:r w:rsidR="007372B4" w:rsidRPr="00C57832">
        <w:rPr>
          <w:lang w:val="fr-BE" w:eastAsia="nl-NL"/>
        </w:rPr>
        <w:t>our</w:t>
      </w:r>
      <w:r w:rsidRPr="00C57832">
        <w:rPr>
          <w:lang w:val="fr-BE" w:eastAsia="nl-NL"/>
        </w:rPr>
        <w:t xml:space="preserve"> </w:t>
      </w:r>
      <w:r w:rsidR="001532DE" w:rsidRPr="00C57832">
        <w:rPr>
          <w:lang w:val="fr-BE" w:eastAsia="nl-NL"/>
        </w:rPr>
        <w:t>la première journée</w:t>
      </w:r>
      <w:r w:rsidRPr="00C57832">
        <w:rPr>
          <w:lang w:val="fr-BE" w:eastAsia="nl-NL"/>
        </w:rPr>
        <w:t xml:space="preserve"> entamée au cours de laquelle le conteneur de PMC n'est pas vidé.</w:t>
      </w:r>
      <w:r w:rsidR="00736BFC" w:rsidRPr="00C57832">
        <w:rPr>
          <w:lang w:val="fr-BE" w:eastAsia="nl-NL"/>
        </w:rPr>
        <w:t xml:space="preserve"> A partir de la 2</w:t>
      </w:r>
      <w:r w:rsidR="00D14A79" w:rsidRPr="00C57832">
        <w:rPr>
          <w:vertAlign w:val="superscript"/>
          <w:lang w:val="fr-BE" w:eastAsia="nl-NL"/>
        </w:rPr>
        <w:t>ème</w:t>
      </w:r>
      <w:r w:rsidR="00736BFC" w:rsidRPr="00C57832">
        <w:rPr>
          <w:lang w:val="fr-BE" w:eastAsia="nl-NL"/>
        </w:rPr>
        <w:t xml:space="preserve"> journée entamée, l’amende sera portée à 225 EUR</w:t>
      </w:r>
      <w:r w:rsidR="00294596" w:rsidRPr="00C57832">
        <w:rPr>
          <w:lang w:val="fr-BE" w:eastAsia="nl-NL"/>
        </w:rPr>
        <w:t>.</w:t>
      </w:r>
    </w:p>
    <w:p w14:paraId="08BE8CBE" w14:textId="07EF0894" w:rsidR="002318F7" w:rsidRPr="00C57832" w:rsidRDefault="002318F7" w:rsidP="00BB166A">
      <w:pPr>
        <w:pStyle w:val="Listenumros"/>
        <w:numPr>
          <w:ilvl w:val="0"/>
          <w:numId w:val="14"/>
        </w:numPr>
        <w:spacing w:after="240"/>
        <w:rPr>
          <w:lang w:val="fr-BE" w:eastAsia="nl-NL"/>
        </w:rPr>
      </w:pPr>
      <w:r w:rsidRPr="00C57832">
        <w:rPr>
          <w:lang w:val="fr-BE" w:eastAsia="nl-NL"/>
        </w:rPr>
        <w:t xml:space="preserve">S’il est constaté dans la station de transfert éventuelle que le stock de matériaux </w:t>
      </w:r>
      <w:r w:rsidRPr="00C57832">
        <w:rPr>
          <w:lang w:val="fr-BE"/>
        </w:rPr>
        <w:t xml:space="preserve">collecté </w:t>
      </w:r>
      <w:r w:rsidRPr="00C57832">
        <w:rPr>
          <w:lang w:val="fr-BE" w:eastAsia="nl-NL"/>
        </w:rPr>
        <w:t xml:space="preserve">dépasse l'apport mensuel en provenance de la collecte, une pénalité de 25 EUR par tonne </w:t>
      </w:r>
      <w:r w:rsidRPr="00C57832">
        <w:rPr>
          <w:lang w:val="fr-BE"/>
        </w:rPr>
        <w:t>collectée</w:t>
      </w:r>
      <w:r w:rsidRPr="00C57832">
        <w:rPr>
          <w:lang w:val="fr-BE" w:eastAsia="nl-NL"/>
        </w:rPr>
        <w:t xml:space="preserve"> et par mois peut être infligée au prestataire de services. En cas de répétition de l’infraction endéans les 2 mois suivants, une pénalité de 35 EUR par tonne peut être infligée au prestataire de services.</w:t>
      </w:r>
    </w:p>
    <w:p w14:paraId="112A0727" w14:textId="51389020" w:rsidR="002318F7" w:rsidRPr="00C57832" w:rsidRDefault="002318F7" w:rsidP="00BB166A">
      <w:pPr>
        <w:pStyle w:val="Listenumros"/>
        <w:numPr>
          <w:ilvl w:val="0"/>
          <w:numId w:val="14"/>
        </w:numPr>
        <w:spacing w:after="240"/>
        <w:rPr>
          <w:lang w:val="fr-BE" w:eastAsia="nl-NL"/>
        </w:rPr>
      </w:pPr>
      <w:r w:rsidRPr="00C57832">
        <w:rPr>
          <w:lang w:val="fr-BE" w:eastAsia="nl-NL"/>
        </w:rPr>
        <w:t>Si l’on constate dans la station de transfert éventuelle que le stockage de</w:t>
      </w:r>
      <w:r w:rsidRPr="00C57832">
        <w:rPr>
          <w:lang w:val="fr-BE"/>
        </w:rPr>
        <w:t>s matériaux</w:t>
      </w:r>
      <w:r w:rsidRPr="00C57832">
        <w:rPr>
          <w:lang w:val="fr-BE" w:eastAsia="nl-NL"/>
        </w:rPr>
        <w:t xml:space="preserve"> n'est pas effectué de manière conforme (non couvert ou pas sur un sol en dur</w:t>
      </w:r>
      <w:r w:rsidRPr="00C57832">
        <w:rPr>
          <w:lang w:val="fr-BE"/>
        </w:rPr>
        <w:t xml:space="preserve"> ou pas séparé d’autres flux</w:t>
      </w:r>
      <w:r w:rsidRPr="00C57832">
        <w:rPr>
          <w:lang w:val="fr-BE" w:eastAsia="nl-NL"/>
        </w:rPr>
        <w:t>), le centre de tri peut se voir infliger une pénalité forfaitaire de 500 EUR. En cas de répétition de l’infraction endéans la semaine, une pénalité de 750 EUR par constat peut être infligée.</w:t>
      </w:r>
    </w:p>
    <w:p w14:paraId="14612A81" w14:textId="05AAB452" w:rsidR="002318F7" w:rsidRPr="00C57832" w:rsidRDefault="002318F7" w:rsidP="00BB166A">
      <w:pPr>
        <w:pStyle w:val="Listenumros"/>
        <w:numPr>
          <w:ilvl w:val="0"/>
          <w:numId w:val="14"/>
        </w:numPr>
        <w:spacing w:after="240"/>
        <w:rPr>
          <w:lang w:val="fr-BE"/>
        </w:rPr>
      </w:pPr>
      <w:r w:rsidRPr="00C57832">
        <w:rPr>
          <w:lang w:val="fr-BE"/>
        </w:rPr>
        <w:t>S'il est constaté que le prestataire de services a entreposé ou déversé le contenu du conteneur ou d'un véhicule de collecte sur un autre terrain que celui indiqué par l’acquéreur, une amende de 500 EUR par infraction peut être infligée au prestataire de services, sauf en cas de grève ou de circonstances exceptionnelles qui rendent la livraison auprès du point de livraison de l’acquéreur impossible. En cas de répétition de cette infraction endéans les 6 mois qui suivent, une amende de 750 EUR par infraction peut être infligée au prestataire de services.</w:t>
      </w:r>
    </w:p>
    <w:p w14:paraId="397C7EA2" w14:textId="370EB918" w:rsidR="00084048" w:rsidRPr="00C57832" w:rsidRDefault="006B4934" w:rsidP="00BB166A">
      <w:pPr>
        <w:pStyle w:val="Listenumros"/>
        <w:numPr>
          <w:ilvl w:val="0"/>
          <w:numId w:val="14"/>
        </w:numPr>
        <w:spacing w:after="240"/>
        <w:rPr>
          <w:lang w:val="fr-BE" w:eastAsia="nl-NL"/>
        </w:rPr>
      </w:pPr>
      <w:r w:rsidRPr="00C57832">
        <w:rPr>
          <w:lang w:val="fr-BE" w:eastAsia="nl-NL"/>
        </w:rPr>
        <w:t xml:space="preserve">Si plus de 25% des </w:t>
      </w:r>
      <w:r w:rsidR="00CD040F" w:rsidRPr="00C57832">
        <w:rPr>
          <w:szCs w:val="18"/>
          <w:lang w:val="fr-BE"/>
        </w:rPr>
        <w:t>bons de livraison d’un mois n’ont pas été encodées, complétées ou validées par le prestataire de services dans l’application en ligne</w:t>
      </w:r>
      <w:r w:rsidR="0042064B" w:rsidRPr="00C57832">
        <w:rPr>
          <w:szCs w:val="18"/>
          <w:lang w:val="fr-BE"/>
        </w:rPr>
        <w:t xml:space="preserve"> de </w:t>
      </w:r>
      <w:proofErr w:type="spellStart"/>
      <w:r w:rsidR="0042064B" w:rsidRPr="00C57832">
        <w:rPr>
          <w:szCs w:val="18"/>
          <w:lang w:val="fr-BE"/>
        </w:rPr>
        <w:t>Fost</w:t>
      </w:r>
      <w:proofErr w:type="spellEnd"/>
      <w:r w:rsidR="0042064B" w:rsidRPr="00C57832">
        <w:rPr>
          <w:szCs w:val="18"/>
          <w:lang w:val="fr-BE"/>
        </w:rPr>
        <w:t xml:space="preserve"> Plus</w:t>
      </w:r>
      <w:r w:rsidR="00CD040F" w:rsidRPr="00C57832">
        <w:rPr>
          <w:szCs w:val="18"/>
          <w:lang w:val="fr-BE"/>
        </w:rPr>
        <w:t xml:space="preserve">, selon la procédure disponible sur le site web, le prestataire peut se voir infliger une amende de 150 EUR. </w:t>
      </w:r>
      <w:r w:rsidR="00DB4F7C" w:rsidRPr="00C57832">
        <w:rPr>
          <w:lang w:val="fr-BE" w:eastAsia="nl-NL"/>
        </w:rPr>
        <w:t xml:space="preserve">En cas de répétition de l’infraction endéans le mois suivant, une amende de 225 EUR </w:t>
      </w:r>
      <w:r w:rsidR="00A077FD" w:rsidRPr="00C57832">
        <w:rPr>
          <w:lang w:val="fr-BE" w:eastAsia="nl-NL"/>
        </w:rPr>
        <w:t xml:space="preserve">peut être </w:t>
      </w:r>
      <w:r w:rsidR="00DB4F7C" w:rsidRPr="00C57832">
        <w:rPr>
          <w:lang w:val="fr-BE" w:eastAsia="nl-NL"/>
        </w:rPr>
        <w:t>infligée au prestataire de services.</w:t>
      </w:r>
    </w:p>
    <w:p w14:paraId="397C7EA3" w14:textId="180B48F1" w:rsidR="00084048" w:rsidRPr="00C57832" w:rsidRDefault="006B4934" w:rsidP="00BB166A">
      <w:pPr>
        <w:pStyle w:val="Listenumros"/>
        <w:numPr>
          <w:ilvl w:val="0"/>
          <w:numId w:val="14"/>
        </w:numPr>
        <w:spacing w:after="240"/>
        <w:rPr>
          <w:lang w:val="fr-BE" w:eastAsia="nl-NL"/>
        </w:rPr>
      </w:pPr>
      <w:r w:rsidRPr="00C57832">
        <w:rPr>
          <w:lang w:val="fr-BE" w:eastAsia="nl-NL"/>
        </w:rPr>
        <w:t xml:space="preserve">S’il est constaté que le véhicule de collecte ne contient pas d’autocollants </w:t>
      </w:r>
      <w:r w:rsidR="0028603A" w:rsidRPr="00C57832">
        <w:rPr>
          <w:lang w:val="fr-BE" w:eastAsia="nl-NL"/>
        </w:rPr>
        <w:t xml:space="preserve">de refus </w:t>
      </w:r>
      <w:r w:rsidR="004D3E09" w:rsidRPr="00C57832">
        <w:rPr>
          <w:lang w:val="fr-BE" w:eastAsia="nl-NL"/>
        </w:rPr>
        <w:t>« main rouge »</w:t>
      </w:r>
      <w:r w:rsidRPr="00C57832">
        <w:rPr>
          <w:lang w:val="fr-BE" w:eastAsia="nl-NL"/>
        </w:rPr>
        <w:t xml:space="preserve"> dans le véhicule de collecte au moment de la tournée de collecte, une amende de 100 EUR </w:t>
      </w:r>
      <w:r w:rsidR="00A077FD" w:rsidRPr="00C57832">
        <w:rPr>
          <w:lang w:val="fr-BE" w:eastAsia="nl-NL"/>
        </w:rPr>
        <w:t xml:space="preserve">peut être </w:t>
      </w:r>
      <w:r w:rsidRPr="00C57832">
        <w:rPr>
          <w:lang w:val="fr-BE" w:eastAsia="nl-NL"/>
        </w:rPr>
        <w:t>infligée au prestataire de services.</w:t>
      </w:r>
      <w:r w:rsidR="00736BFC" w:rsidRPr="00C57832">
        <w:rPr>
          <w:lang w:val="fr-BE" w:eastAsia="nl-NL"/>
        </w:rPr>
        <w:t xml:space="preserve"> </w:t>
      </w:r>
    </w:p>
    <w:p w14:paraId="5EDC579F" w14:textId="1B86EBDC" w:rsidR="00344452" w:rsidRPr="00C57832" w:rsidRDefault="00B22CA4" w:rsidP="00BB166A">
      <w:pPr>
        <w:pStyle w:val="Listenumros"/>
        <w:numPr>
          <w:ilvl w:val="0"/>
          <w:numId w:val="14"/>
        </w:numPr>
        <w:spacing w:after="240"/>
        <w:rPr>
          <w:lang w:val="fr-BE" w:eastAsia="nl-NL"/>
        </w:rPr>
      </w:pPr>
      <w:r w:rsidRPr="00C57832">
        <w:rPr>
          <w:lang w:val="fr-BE"/>
        </w:rPr>
        <w:t>Lorsque le prestataire de service a recours à une station de transfert, s’il est constaté dans le suivi administratif (</w:t>
      </w:r>
      <w:proofErr w:type="spellStart"/>
      <w:r w:rsidRPr="00C57832">
        <w:rPr>
          <w:lang w:val="fr-BE"/>
        </w:rPr>
        <w:t>MyFost</w:t>
      </w:r>
      <w:proofErr w:type="spellEnd"/>
      <w:r w:rsidRPr="00C57832">
        <w:rPr>
          <w:lang w:val="fr-BE"/>
        </w:rPr>
        <w:t>) de la station de transfert que les stocks enregistrés sont incorrects :</w:t>
      </w:r>
      <w:r w:rsidRPr="00C57832">
        <w:rPr>
          <w:lang w:val="fr-BE" w:eastAsia="nl-NL"/>
        </w:rPr>
        <w:br/>
        <w:t xml:space="preserve">- </w:t>
      </w:r>
      <w:r w:rsidR="00F3131B" w:rsidRPr="00C57832">
        <w:rPr>
          <w:lang w:val="fr-BE"/>
        </w:rPr>
        <w:t>soit</w:t>
      </w:r>
      <w:r w:rsidRPr="00C57832">
        <w:rPr>
          <w:lang w:val="fr-BE"/>
        </w:rPr>
        <w:t xml:space="preserve"> suite à une erreur de suivi administratif (erreur d’enregistrement In et/ou Out) ;</w:t>
      </w:r>
      <w:r w:rsidRPr="00C57832">
        <w:rPr>
          <w:lang w:val="fr-BE"/>
        </w:rPr>
        <w:br/>
        <w:t xml:space="preserve">- </w:t>
      </w:r>
      <w:r w:rsidR="00F3131B" w:rsidRPr="00C57832">
        <w:rPr>
          <w:lang w:val="fr-BE"/>
        </w:rPr>
        <w:t>s</w:t>
      </w:r>
      <w:r w:rsidRPr="00C57832">
        <w:rPr>
          <w:lang w:val="fr-BE"/>
        </w:rPr>
        <w:t xml:space="preserve">oit parce que le stock administratif ne correspond pas au stock </w:t>
      </w:r>
      <w:r w:rsidR="00B81ED3" w:rsidRPr="00C57832">
        <w:rPr>
          <w:lang w:val="fr-BE"/>
        </w:rPr>
        <w:t>réel</w:t>
      </w:r>
      <w:r w:rsidRPr="00C57832">
        <w:rPr>
          <w:lang w:val="fr-BE"/>
        </w:rPr>
        <w:t xml:space="preserve"> effectivement présent ;</w:t>
      </w:r>
      <w:r w:rsidRPr="00C57832">
        <w:rPr>
          <w:lang w:val="fr-BE"/>
        </w:rPr>
        <w:br/>
      </w:r>
      <w:r w:rsidRPr="00C57832">
        <w:rPr>
          <w:lang w:val="fr-BE"/>
        </w:rPr>
        <w:lastRenderedPageBreak/>
        <w:t>une pénalité forfaitaire de 150 EUR par fraction peut être infligée au prestataire de services. En cas de répétition de l’infraction endéans les 2 mois, une pénalité de 225 EUR peut être infligée au prestataire de services</w:t>
      </w:r>
      <w:r w:rsidR="00344452" w:rsidRPr="00C57832">
        <w:rPr>
          <w:lang w:val="fr-BE" w:eastAsia="nl-NL"/>
        </w:rPr>
        <w:t>.</w:t>
      </w:r>
    </w:p>
    <w:p w14:paraId="7C79861F" w14:textId="2550163C" w:rsidR="00210816" w:rsidRPr="00C57832" w:rsidRDefault="00210816" w:rsidP="00BB166A">
      <w:pPr>
        <w:pStyle w:val="Listenumros"/>
        <w:numPr>
          <w:ilvl w:val="0"/>
          <w:numId w:val="14"/>
        </w:numPr>
        <w:spacing w:after="240"/>
        <w:rPr>
          <w:lang w:val="fr-BE" w:eastAsia="nl-NL"/>
        </w:rPr>
      </w:pPr>
      <w:r w:rsidRPr="00C57832">
        <w:rPr>
          <w:lang w:val="fr-BE" w:eastAsia="nl-NL"/>
        </w:rPr>
        <w:t>Dans le cadre d’une éventuelle collecte en duo :</w:t>
      </w:r>
    </w:p>
    <w:p w14:paraId="0C71D1D1" w14:textId="1EBAE2E0" w:rsidR="00210816" w:rsidRPr="00C57832" w:rsidRDefault="00210816" w:rsidP="00C76C93">
      <w:pPr>
        <w:pStyle w:val="Listenumros"/>
        <w:spacing w:after="240"/>
        <w:ind w:left="432"/>
        <w:rPr>
          <w:lang w:val="fr-BE" w:eastAsia="nl-NL"/>
        </w:rPr>
      </w:pPr>
      <w:r w:rsidRPr="00C57832">
        <w:rPr>
          <w:lang w:val="fr-BE" w:eastAsia="nl-NL"/>
        </w:rPr>
        <w:t xml:space="preserve">Si au moment de la livraison, du papier-carton se mêle au PMC, le prestataire de service peut se voir </w:t>
      </w:r>
      <w:r w:rsidR="00107AD3" w:rsidRPr="00C57832">
        <w:rPr>
          <w:lang w:val="fr-BE" w:eastAsia="nl-NL"/>
        </w:rPr>
        <w:t>infliger une amende de 150 EUR.</w:t>
      </w:r>
      <w:r w:rsidRPr="00C57832">
        <w:rPr>
          <w:lang w:val="fr-BE" w:eastAsia="nl-NL"/>
        </w:rPr>
        <w:t xml:space="preserve"> En cas de répétition de l’infraction endéans le mois suivant, une pénalité de 225 EUR peut être infligée au prestataire de services.</w:t>
      </w:r>
    </w:p>
    <w:p w14:paraId="2433DAF9" w14:textId="2ADB2CE8" w:rsidR="00210816" w:rsidRPr="00C57832" w:rsidRDefault="00210816" w:rsidP="00C76C93">
      <w:pPr>
        <w:pStyle w:val="Listenumros"/>
        <w:spacing w:after="240"/>
        <w:ind w:left="432"/>
        <w:rPr>
          <w:lang w:val="fr-BE" w:eastAsia="nl-NL"/>
        </w:rPr>
      </w:pPr>
      <w:r w:rsidRPr="00C57832">
        <w:rPr>
          <w:lang w:val="fr-BE" w:eastAsia="nl-NL"/>
        </w:rPr>
        <w:t>Si au moment de la livraison, du PMC se mêle au papier-carton, le prestataire de service peut se voir infliger une amende de 150 EUR. En cas de répétition de l’infraction endéans le mois suivant, une pénalité de 225 EUR peut être infligée au prestataire de services.</w:t>
      </w:r>
    </w:p>
    <w:p w14:paraId="4F96162F" w14:textId="5EF56D51" w:rsidR="00210816" w:rsidRPr="00C57832" w:rsidRDefault="00210816" w:rsidP="00BB166A">
      <w:pPr>
        <w:pStyle w:val="Listenumros"/>
        <w:numPr>
          <w:ilvl w:val="0"/>
          <w:numId w:val="14"/>
        </w:numPr>
        <w:spacing w:after="240"/>
        <w:rPr>
          <w:lang w:val="fr-BE" w:eastAsia="nl-NL"/>
        </w:rPr>
      </w:pPr>
      <w:r w:rsidRPr="00C57832">
        <w:rPr>
          <w:lang w:val="fr-BE" w:eastAsia="nl-NL"/>
        </w:rPr>
        <w:t>Lorsque le prestataire de service a recours à une station de transfert, s’il est constaté que le stockage des PMC ne se produit pas de façon conforme (pas couvert ou pas sur un sol renforcé), le prestataire de service peut se voir infliger une amende de 500 EUR. En cas de répétition de l’infraction endéans la semaine suivant</w:t>
      </w:r>
      <w:r w:rsidR="00107AD3" w:rsidRPr="00C57832">
        <w:rPr>
          <w:lang w:val="fr-BE" w:eastAsia="nl-NL"/>
        </w:rPr>
        <w:t>e</w:t>
      </w:r>
      <w:r w:rsidRPr="00C57832">
        <w:rPr>
          <w:lang w:val="fr-BE" w:eastAsia="nl-NL"/>
        </w:rPr>
        <w:t xml:space="preserve">, une pénalité de 750 EUR </w:t>
      </w:r>
      <w:r w:rsidR="00107AD3" w:rsidRPr="00C57832">
        <w:rPr>
          <w:lang w:val="fr-BE" w:eastAsia="nl-NL"/>
        </w:rPr>
        <w:t xml:space="preserve">par constat </w:t>
      </w:r>
      <w:r w:rsidRPr="00C57832">
        <w:rPr>
          <w:lang w:val="fr-BE" w:eastAsia="nl-NL"/>
        </w:rPr>
        <w:t>peut être infligée au prestataire de services.</w:t>
      </w:r>
    </w:p>
    <w:p w14:paraId="2C7DD750" w14:textId="6FF82214" w:rsidR="00107AD3" w:rsidRPr="00C57832" w:rsidRDefault="00107AD3" w:rsidP="00BB166A">
      <w:pPr>
        <w:pStyle w:val="Listenumros"/>
        <w:numPr>
          <w:ilvl w:val="0"/>
          <w:numId w:val="14"/>
        </w:numPr>
        <w:spacing w:after="240"/>
        <w:rPr>
          <w:lang w:val="fr-BE" w:eastAsia="nl-NL"/>
        </w:rPr>
      </w:pPr>
      <w:r w:rsidRPr="00C57832">
        <w:rPr>
          <w:lang w:val="fr-BE" w:eastAsia="nl-NL"/>
        </w:rPr>
        <w:t xml:space="preserve">S’il est constaté </w:t>
      </w:r>
      <w:r w:rsidR="00D44CE4" w:rsidRPr="00C57832">
        <w:rPr>
          <w:lang w:val="fr-BE" w:eastAsia="nl-NL"/>
        </w:rPr>
        <w:t xml:space="preserve">lors de la livraison </w:t>
      </w:r>
      <w:r w:rsidR="00725F3F" w:rsidRPr="00C57832">
        <w:rPr>
          <w:lang w:val="fr-BE" w:eastAsia="nl-NL"/>
        </w:rPr>
        <w:t xml:space="preserve">de matières </w:t>
      </w:r>
      <w:r w:rsidR="00D44CE4" w:rsidRPr="00C57832">
        <w:rPr>
          <w:lang w:val="fr-BE" w:eastAsia="nl-NL"/>
        </w:rPr>
        <w:t xml:space="preserve">dans un centre de tri ou une station de transfert éventuelle </w:t>
      </w:r>
      <w:r w:rsidRPr="00C57832">
        <w:rPr>
          <w:lang w:val="fr-BE" w:eastAsia="nl-NL"/>
        </w:rPr>
        <w:t xml:space="preserve">que le nombre de personnes </w:t>
      </w:r>
      <w:r w:rsidR="00D44CE4" w:rsidRPr="00C57832">
        <w:rPr>
          <w:lang w:val="fr-BE" w:eastAsia="nl-NL"/>
        </w:rPr>
        <w:t xml:space="preserve">présentes </w:t>
      </w:r>
      <w:r w:rsidRPr="00C57832">
        <w:rPr>
          <w:lang w:val="fr-BE" w:eastAsia="nl-NL"/>
        </w:rPr>
        <w:t>dans la cabine</w:t>
      </w:r>
      <w:r w:rsidR="00D44CE4" w:rsidRPr="00C57832">
        <w:rPr>
          <w:lang w:val="fr-BE" w:eastAsia="nl-NL"/>
        </w:rPr>
        <w:t xml:space="preserve"> du camion</w:t>
      </w:r>
      <w:r w:rsidRPr="00C57832">
        <w:rPr>
          <w:lang w:val="fr-BE" w:eastAsia="nl-NL"/>
        </w:rPr>
        <w:t xml:space="preserve"> </w:t>
      </w:r>
      <w:r w:rsidR="00D44CE4" w:rsidRPr="00C57832">
        <w:rPr>
          <w:lang w:val="fr-BE" w:eastAsia="nl-NL"/>
        </w:rPr>
        <w:t xml:space="preserve">diffère entre la pesée </w:t>
      </w:r>
      <w:r w:rsidR="002C3C8C" w:rsidRPr="00C57832">
        <w:rPr>
          <w:lang w:val="fr-BE" w:eastAsia="nl-NL"/>
        </w:rPr>
        <w:t>d’entrée</w:t>
      </w:r>
      <w:r w:rsidR="00D44CE4" w:rsidRPr="00C57832">
        <w:rPr>
          <w:lang w:val="fr-BE" w:eastAsia="nl-NL"/>
        </w:rPr>
        <w:t xml:space="preserve"> et la pesée </w:t>
      </w:r>
      <w:r w:rsidR="002C3C8C" w:rsidRPr="00C57832">
        <w:rPr>
          <w:lang w:val="fr-BE" w:eastAsia="nl-NL"/>
        </w:rPr>
        <w:t>de sortie</w:t>
      </w:r>
      <w:r w:rsidR="00D44CE4" w:rsidRPr="00C57832">
        <w:rPr>
          <w:lang w:val="fr-BE" w:eastAsia="nl-NL"/>
        </w:rPr>
        <w:t xml:space="preserve"> de chaque matière</w:t>
      </w:r>
      <w:r w:rsidRPr="00C57832">
        <w:rPr>
          <w:lang w:val="fr-BE" w:eastAsia="nl-NL"/>
        </w:rPr>
        <w:t xml:space="preserve">, </w:t>
      </w:r>
      <w:r w:rsidR="00C47290" w:rsidRPr="00C57832">
        <w:rPr>
          <w:lang w:val="fr-BE" w:eastAsia="nl-NL"/>
        </w:rPr>
        <w:t xml:space="preserve">ce qui induit une erreur sur </w:t>
      </w:r>
      <w:r w:rsidR="00B72900" w:rsidRPr="00C57832">
        <w:rPr>
          <w:lang w:val="fr-BE" w:eastAsia="nl-NL"/>
        </w:rPr>
        <w:t>le poids net</w:t>
      </w:r>
      <w:r w:rsidR="002C3C8C" w:rsidRPr="00C57832">
        <w:rPr>
          <w:lang w:val="fr-BE" w:eastAsia="nl-NL"/>
        </w:rPr>
        <w:t xml:space="preserve"> de celle-ci</w:t>
      </w:r>
      <w:r w:rsidR="00C47290" w:rsidRPr="00C57832">
        <w:rPr>
          <w:lang w:val="fr-BE" w:eastAsia="nl-NL"/>
        </w:rPr>
        <w:t xml:space="preserve">, </w:t>
      </w:r>
      <w:r w:rsidRPr="00C57832">
        <w:rPr>
          <w:lang w:val="fr-BE" w:eastAsia="nl-NL"/>
        </w:rPr>
        <w:t>le prestataire de service peut se voir infliger une amende de 150 EUR. En cas de répétition de l’infraction endéans la semaine suivante, une pénalité de 225 EUR par constat peut être infligée au prestataire de services.</w:t>
      </w:r>
    </w:p>
    <w:p w14:paraId="397C7EA4" w14:textId="77777777" w:rsidR="006B4934" w:rsidRPr="00C57832" w:rsidRDefault="006B4934" w:rsidP="00285C0F">
      <w:pPr>
        <w:spacing w:after="0"/>
        <w:rPr>
          <w:lang w:val="fr-BE"/>
        </w:rPr>
      </w:pPr>
    </w:p>
    <w:p w14:paraId="397C7EA5" w14:textId="77777777" w:rsidR="006B4934" w:rsidRPr="00C57832" w:rsidRDefault="006B4934">
      <w:pPr>
        <w:rPr>
          <w:lang w:val="fr-BE"/>
        </w:rPr>
      </w:pPr>
      <w:r w:rsidRPr="00C57832">
        <w:rPr>
          <w:lang w:val="fr-BE"/>
        </w:rPr>
        <w:t>C. Mesures d'office</w:t>
      </w:r>
    </w:p>
    <w:p w14:paraId="397C7EA6" w14:textId="17D6C2FE" w:rsidR="006B4934" w:rsidRPr="00C57832" w:rsidRDefault="006B4934">
      <w:pPr>
        <w:rPr>
          <w:lang w:val="fr-BE"/>
        </w:rPr>
      </w:pPr>
      <w:r w:rsidRPr="00C57832">
        <w:rPr>
          <w:lang w:val="fr-BE"/>
        </w:rPr>
        <w:t xml:space="preserve">Les mesures d'office sont conformes à celles reprises </w:t>
      </w:r>
      <w:r w:rsidR="00203ABD" w:rsidRPr="00C57832">
        <w:rPr>
          <w:lang w:val="fr-BE"/>
        </w:rPr>
        <w:t xml:space="preserve">aux articles 45 à 49 </w:t>
      </w:r>
      <w:r w:rsidR="008850D9" w:rsidRPr="00C57832">
        <w:rPr>
          <w:lang w:val="fr-BE"/>
        </w:rPr>
        <w:t>AR Exécution</w:t>
      </w:r>
      <w:r w:rsidR="0056707C" w:rsidRPr="00C57832">
        <w:rPr>
          <w:lang w:val="fr-BE"/>
        </w:rPr>
        <w:t xml:space="preserve"> </w:t>
      </w:r>
      <w:r w:rsidR="00203ABD" w:rsidRPr="00C57832">
        <w:rPr>
          <w:lang w:val="fr-BE"/>
        </w:rPr>
        <w:t xml:space="preserve">et l’article 155 </w:t>
      </w:r>
      <w:r w:rsidR="008850D9" w:rsidRPr="00C57832">
        <w:rPr>
          <w:lang w:val="fr-BE"/>
        </w:rPr>
        <w:t>AR Exécution</w:t>
      </w:r>
      <w:r w:rsidRPr="00C57832">
        <w:rPr>
          <w:lang w:val="fr-BE"/>
        </w:rPr>
        <w:t>.</w:t>
      </w:r>
    </w:p>
    <w:p w14:paraId="397C7EA7" w14:textId="77777777" w:rsidR="006B4934" w:rsidRPr="00C57832" w:rsidRDefault="006B4934">
      <w:pPr>
        <w:rPr>
          <w:lang w:val="fr-BE"/>
        </w:rPr>
        <w:sectPr w:rsidR="006B4934" w:rsidRPr="00C57832">
          <w:footerReference w:type="default" r:id="rId18"/>
          <w:pgSz w:w="11906" w:h="16838" w:code="9"/>
          <w:pgMar w:top="1418" w:right="1418" w:bottom="1418" w:left="1418" w:header="709" w:footer="709" w:gutter="0"/>
          <w:cols w:space="708"/>
          <w:docGrid w:linePitch="360"/>
        </w:sectPr>
      </w:pPr>
    </w:p>
    <w:p w14:paraId="397C7EA9" w14:textId="78CF5796" w:rsidR="006B4934" w:rsidRPr="00C57832" w:rsidRDefault="006B4934">
      <w:pPr>
        <w:pStyle w:val="Titre1"/>
        <w:rPr>
          <w:rFonts w:eastAsia="Times New Roman"/>
          <w:lang w:val="fr-BE" w:eastAsia="nl-NL"/>
        </w:rPr>
      </w:pPr>
      <w:bookmarkStart w:id="114" w:name="_Toc200945519"/>
      <w:bookmarkStart w:id="115" w:name="_Toc201025150"/>
      <w:bookmarkStart w:id="116" w:name="_Toc201587457"/>
      <w:bookmarkStart w:id="117" w:name="_Toc513197760"/>
      <w:r w:rsidRPr="00C57832">
        <w:rPr>
          <w:rFonts w:eastAsia="Times New Roman"/>
          <w:lang w:val="fr-BE" w:eastAsia="nl-NL"/>
        </w:rPr>
        <w:lastRenderedPageBreak/>
        <w:t>PARTIE II : CLAUSES TECHNIQUES</w:t>
      </w:r>
      <w:bookmarkEnd w:id="114"/>
      <w:bookmarkEnd w:id="115"/>
      <w:bookmarkEnd w:id="116"/>
      <w:bookmarkEnd w:id="117"/>
    </w:p>
    <w:p w14:paraId="397C7EAA" w14:textId="1D4050DB" w:rsidR="006B4934" w:rsidRPr="00E03B09" w:rsidRDefault="006B4934" w:rsidP="00BB166A">
      <w:pPr>
        <w:pStyle w:val="Paragraphedeliste"/>
        <w:numPr>
          <w:ilvl w:val="0"/>
          <w:numId w:val="24"/>
        </w:numPr>
        <w:rPr>
          <w:b/>
          <w:lang w:val="fr-BE" w:eastAsia="nl-NL"/>
        </w:rPr>
      </w:pPr>
      <w:bookmarkStart w:id="118" w:name="_Toc200945520"/>
      <w:bookmarkStart w:id="119" w:name="_Toc201025151"/>
      <w:bookmarkStart w:id="120" w:name="_Toc201587458"/>
      <w:bookmarkStart w:id="121" w:name="_Toc513197761"/>
      <w:r w:rsidRPr="00E03B09">
        <w:rPr>
          <w:b/>
          <w:sz w:val="24"/>
          <w:lang w:val="fr-BE" w:eastAsia="nl-NL"/>
        </w:rPr>
        <w:t xml:space="preserve">Description du </w:t>
      </w:r>
      <w:bookmarkEnd w:id="118"/>
      <w:bookmarkEnd w:id="119"/>
      <w:bookmarkEnd w:id="120"/>
      <w:r w:rsidR="005E5746" w:rsidRPr="00E03B09">
        <w:rPr>
          <w:b/>
          <w:sz w:val="24"/>
          <w:lang w:val="fr-BE" w:eastAsia="nl-NL"/>
        </w:rPr>
        <w:t>Marché</w:t>
      </w:r>
      <w:bookmarkEnd w:id="121"/>
    </w:p>
    <w:p w14:paraId="397C7EAB" w14:textId="77777777" w:rsidR="00404A7E" w:rsidRPr="00C57832" w:rsidRDefault="00404A7E" w:rsidP="00404A7E">
      <w:pPr>
        <w:rPr>
          <w:lang w:val="fr-BE" w:eastAsia="nl-NL"/>
        </w:rPr>
      </w:pPr>
    </w:p>
    <w:p w14:paraId="397C7EAC" w14:textId="77777777" w:rsidR="006B4934" w:rsidRPr="00C57832" w:rsidRDefault="006B4934" w:rsidP="00FD4339">
      <w:pPr>
        <w:pBdr>
          <w:top w:val="single" w:sz="4" w:space="1" w:color="auto"/>
          <w:left w:val="single" w:sz="4" w:space="0" w:color="auto"/>
          <w:bottom w:val="single" w:sz="4" w:space="1" w:color="auto"/>
          <w:right w:val="single" w:sz="4" w:space="4" w:color="auto"/>
        </w:pBdr>
        <w:ind w:right="4226"/>
        <w:jc w:val="both"/>
        <w:rPr>
          <w:rFonts w:eastAsia="Times New Roman"/>
          <w:b/>
          <w:color w:val="000000"/>
          <w:szCs w:val="18"/>
          <w:lang w:val="fr-BE" w:eastAsia="nl-NL"/>
        </w:rPr>
      </w:pPr>
      <w:r w:rsidRPr="00C57832">
        <w:rPr>
          <w:rFonts w:eastAsia="Times New Roman"/>
          <w:b/>
          <w:color w:val="000000"/>
          <w:szCs w:val="18"/>
          <w:lang w:val="fr-BE" w:eastAsia="nl-NL"/>
        </w:rPr>
        <w:t>Lot 1 : Collecte du PMC en porte-à-porte</w:t>
      </w:r>
    </w:p>
    <w:p w14:paraId="397C7EAD" w14:textId="6C01BB0A" w:rsidR="006B4934" w:rsidRPr="0012737C" w:rsidRDefault="006B4934" w:rsidP="00BB166A">
      <w:pPr>
        <w:pStyle w:val="Paragraphedeliste"/>
        <w:numPr>
          <w:ilvl w:val="1"/>
          <w:numId w:val="24"/>
        </w:numPr>
        <w:rPr>
          <w:sz w:val="22"/>
          <w:lang w:val="fr-BE" w:eastAsia="nl-NL"/>
        </w:rPr>
      </w:pPr>
      <w:bookmarkStart w:id="122" w:name="_Toc200945521"/>
      <w:bookmarkStart w:id="123" w:name="_Toc201025152"/>
      <w:bookmarkStart w:id="124" w:name="_Toc201587459"/>
      <w:bookmarkStart w:id="125" w:name="_Toc513197762"/>
      <w:r w:rsidRPr="0012737C">
        <w:rPr>
          <w:sz w:val="22"/>
          <w:lang w:val="fr-BE" w:eastAsia="nl-NL"/>
        </w:rPr>
        <w:t>Collecte</w:t>
      </w:r>
      <w:bookmarkEnd w:id="122"/>
      <w:bookmarkEnd w:id="123"/>
      <w:bookmarkEnd w:id="124"/>
      <w:bookmarkEnd w:id="125"/>
      <w:r w:rsidRPr="0012737C">
        <w:rPr>
          <w:sz w:val="22"/>
          <w:lang w:val="fr-BE" w:eastAsia="nl-NL"/>
        </w:rPr>
        <w:t xml:space="preserve"> </w:t>
      </w:r>
      <w:r w:rsidR="00DB5A51" w:rsidRPr="0012737C">
        <w:rPr>
          <w:sz w:val="22"/>
          <w:lang w:val="fr-BE" w:eastAsia="nl-NL"/>
        </w:rPr>
        <w:t>porte-à-porte</w:t>
      </w:r>
    </w:p>
    <w:p w14:paraId="397C7EAE" w14:textId="074DECF8" w:rsidR="008342D2" w:rsidRPr="00C57832" w:rsidRDefault="006B4934">
      <w:pPr>
        <w:rPr>
          <w:lang w:val="fr-BE"/>
        </w:rPr>
      </w:pPr>
      <w:r w:rsidRPr="0012737C">
        <w:rPr>
          <w:lang w:val="fr-BE"/>
        </w:rPr>
        <w:t xml:space="preserve">La prestation de services consiste en la collecte des PMC dans toutes les rues des communes reprises en annexe C. Les PMC sont déposés sur le trottoir </w:t>
      </w:r>
      <w:r w:rsidR="008A34C9" w:rsidRPr="0012737C">
        <w:rPr>
          <w:lang w:val="fr-BE"/>
        </w:rPr>
        <w:t>(à la frontière du domaine public)</w:t>
      </w:r>
      <w:r w:rsidR="0007475C" w:rsidRPr="0012737C">
        <w:rPr>
          <w:rStyle w:val="Appelnotedebasdep"/>
          <w:lang w:val="fr-BE"/>
        </w:rPr>
        <w:footnoteReference w:id="12"/>
      </w:r>
      <w:r w:rsidR="008A34C9" w:rsidRPr="0012737C">
        <w:rPr>
          <w:lang w:val="fr-BE"/>
        </w:rPr>
        <w:t xml:space="preserve"> </w:t>
      </w:r>
      <w:r w:rsidRPr="0012737C">
        <w:rPr>
          <w:lang w:val="fr-BE"/>
        </w:rPr>
        <w:t>par les habitants, dans des sacs bleus transparents d’une contenance de 60 litres, reprenant le logo du pouvoir adjudicateur</w:t>
      </w:r>
      <w:r w:rsidR="005458BF" w:rsidRPr="0012737C">
        <w:rPr>
          <w:lang w:val="fr-BE"/>
        </w:rPr>
        <w:t xml:space="preserve"> et de </w:t>
      </w:r>
      <w:proofErr w:type="spellStart"/>
      <w:r w:rsidR="005458BF" w:rsidRPr="0012737C">
        <w:rPr>
          <w:lang w:val="fr-BE"/>
        </w:rPr>
        <w:t>Fost</w:t>
      </w:r>
      <w:proofErr w:type="spellEnd"/>
      <w:r w:rsidR="005458BF" w:rsidRPr="0012737C">
        <w:rPr>
          <w:lang w:val="fr-BE"/>
        </w:rPr>
        <w:t xml:space="preserve"> Plus</w:t>
      </w:r>
      <w:r w:rsidRPr="0012737C">
        <w:rPr>
          <w:lang w:val="fr-BE"/>
        </w:rPr>
        <w:t xml:space="preserve">. </w:t>
      </w:r>
      <w:r w:rsidR="00620CB3" w:rsidRPr="0012737C">
        <w:rPr>
          <w:lang w:val="fr-BE"/>
        </w:rPr>
        <w:t>Dans les écoles et d’autres</w:t>
      </w:r>
      <w:r w:rsidR="00626EEB" w:rsidRPr="0012737C">
        <w:rPr>
          <w:lang w:val="fr-BE"/>
        </w:rPr>
        <w:t xml:space="preserve"> collectivités publiques les PMC peuvent être présentés à la collecte dans des conteneurs 1100 litres. Dans d’autres</w:t>
      </w:r>
      <w:r w:rsidR="00620CB3" w:rsidRPr="0012737C">
        <w:rPr>
          <w:lang w:val="fr-BE"/>
        </w:rPr>
        <w:t xml:space="preserve"> </w:t>
      </w:r>
      <w:r w:rsidR="001532DE" w:rsidRPr="0012737C">
        <w:rPr>
          <w:lang w:val="fr-BE"/>
        </w:rPr>
        <w:t>lieux publics</w:t>
      </w:r>
      <w:r w:rsidR="00707E26" w:rsidRPr="0012737C">
        <w:rPr>
          <w:lang w:val="fr-BE"/>
        </w:rPr>
        <w:t xml:space="preserve"> où les sacs sont déposés collectivement, entraînant un réel problème de propreté publique et/ou de forte augmentation du résidu PMC, la collecte en porte-à-porte </w:t>
      </w:r>
      <w:proofErr w:type="gramStart"/>
      <w:r w:rsidR="00707E26" w:rsidRPr="0012737C">
        <w:rPr>
          <w:lang w:val="fr-BE"/>
        </w:rPr>
        <w:t>peut être</w:t>
      </w:r>
      <w:proofErr w:type="gramEnd"/>
      <w:r w:rsidR="00707E26" w:rsidRPr="0012737C">
        <w:rPr>
          <w:lang w:val="fr-BE"/>
        </w:rPr>
        <w:t xml:space="preserve"> remplacée, de manière temporaire ou permanente, par une collecte dans des conteneurs verrouillés, équipés d’ouvertures d’introduction spécifiques</w:t>
      </w:r>
      <w:r w:rsidR="00620CB3" w:rsidRPr="0012737C">
        <w:rPr>
          <w:lang w:val="fr-BE"/>
        </w:rPr>
        <w:t>.</w:t>
      </w:r>
    </w:p>
    <w:p w14:paraId="397C7EAF" w14:textId="77777777" w:rsidR="006B4934" w:rsidRPr="00C57832" w:rsidRDefault="006B4934">
      <w:pPr>
        <w:rPr>
          <w:lang w:val="fr-BE"/>
        </w:rPr>
      </w:pPr>
      <w:r w:rsidRPr="00C57832">
        <w:rPr>
          <w:lang w:val="fr-BE"/>
        </w:rPr>
        <w:t xml:space="preserve">Les PMC doivent être collectés entre </w:t>
      </w:r>
      <w:r w:rsidR="00306B75" w:rsidRPr="00C57832">
        <w:rPr>
          <w:szCs w:val="18"/>
          <w:lang w:val="fr-BE"/>
        </w:rPr>
        <w:fldChar w:fldCharType="begin">
          <w:ffData>
            <w:name w:val=""/>
            <w:enabled/>
            <w:calcOnExit w:val="0"/>
            <w:textInput>
              <w:default w:val="&lt;indiquer l'heure de début&gt;"/>
            </w:textInput>
          </w:ffData>
        </w:fldChar>
      </w:r>
      <w:r w:rsidR="005319F6"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005319F6" w:rsidRPr="00C57832">
        <w:rPr>
          <w:szCs w:val="18"/>
          <w:lang w:val="fr-BE"/>
        </w:rPr>
        <w:t>&lt;indiquer l'heure de début&gt;</w:t>
      </w:r>
      <w:r w:rsidR="00306B75" w:rsidRPr="00C57832">
        <w:rPr>
          <w:szCs w:val="18"/>
          <w:lang w:val="fr-BE"/>
        </w:rPr>
        <w:fldChar w:fldCharType="end"/>
      </w:r>
      <w:r w:rsidRPr="00C57832">
        <w:rPr>
          <w:szCs w:val="18"/>
          <w:lang w:val="fr-BE"/>
        </w:rPr>
        <w:t xml:space="preserve"> </w:t>
      </w:r>
      <w:r w:rsidRPr="00C57832">
        <w:rPr>
          <w:lang w:val="fr-BE"/>
        </w:rPr>
        <w:t xml:space="preserve">et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l'heure de fin&gt;</w:t>
      </w:r>
      <w:r w:rsidR="00306B75" w:rsidRPr="00C57832">
        <w:rPr>
          <w:szCs w:val="18"/>
          <w:lang w:val="fr-BE"/>
        </w:rPr>
        <w:fldChar w:fldCharType="end"/>
      </w:r>
      <w:r w:rsidRPr="00C57832">
        <w:rPr>
          <w:rStyle w:val="Appelnotedebasdep"/>
          <w:szCs w:val="18"/>
          <w:lang w:val="fr-BE"/>
        </w:rPr>
        <w:footnoteReference w:id="13"/>
      </w:r>
      <w:r w:rsidRPr="00C57832">
        <w:rPr>
          <w:lang w:val="fr-BE"/>
        </w:rPr>
        <w:t>.</w:t>
      </w:r>
      <w:r w:rsidR="008342D2" w:rsidRPr="00C57832">
        <w:rPr>
          <w:lang w:val="fr-BE"/>
        </w:rPr>
        <w:t xml:space="preserve"> </w:t>
      </w:r>
      <w:r w:rsidR="00DD75F6" w:rsidRPr="00C57832">
        <w:rPr>
          <w:lang w:val="fr-BE"/>
        </w:rPr>
        <w:t>Pour des raisons de sécurité publique, l</w:t>
      </w:r>
      <w:r w:rsidR="008342D2" w:rsidRPr="00C57832">
        <w:rPr>
          <w:lang w:val="fr-BE"/>
        </w:rPr>
        <w:t xml:space="preserve">e </w:t>
      </w:r>
      <w:r w:rsidR="00512797" w:rsidRPr="00C57832">
        <w:rPr>
          <w:lang w:val="fr-BE"/>
        </w:rPr>
        <w:t xml:space="preserve">prestataire de services tiendra compte </w:t>
      </w:r>
      <w:r w:rsidR="00E2140A" w:rsidRPr="00C57832">
        <w:rPr>
          <w:lang w:val="fr-BE"/>
        </w:rPr>
        <w:t>qu’aucun service de collecte ne pourra se faire durant certaines plages horaires pour les rues ou partie</w:t>
      </w:r>
      <w:r w:rsidR="00404A7E" w:rsidRPr="00C57832">
        <w:rPr>
          <w:lang w:val="fr-BE"/>
        </w:rPr>
        <w:t>s</w:t>
      </w:r>
      <w:r w:rsidR="00E2140A" w:rsidRPr="00C57832">
        <w:rPr>
          <w:lang w:val="fr-BE"/>
        </w:rPr>
        <w:t xml:space="preserve"> de rue mentionnées ci-dessous :</w:t>
      </w:r>
    </w:p>
    <w:tbl>
      <w:tblPr>
        <w:tblStyle w:val="Grilledutableau"/>
        <w:tblW w:w="0" w:type="auto"/>
        <w:tblInd w:w="108" w:type="dxa"/>
        <w:tblLook w:val="04A0" w:firstRow="1" w:lastRow="0" w:firstColumn="1" w:lastColumn="0" w:noHBand="0" w:noVBand="1"/>
      </w:tblPr>
      <w:tblGrid>
        <w:gridCol w:w="2160"/>
        <w:gridCol w:w="2263"/>
        <w:gridCol w:w="2264"/>
        <w:gridCol w:w="2265"/>
      </w:tblGrid>
      <w:tr w:rsidR="00512797" w:rsidRPr="00C57832" w14:paraId="397C7EB4" w14:textId="77777777" w:rsidTr="00FD4339">
        <w:tc>
          <w:tcPr>
            <w:tcW w:w="2194" w:type="dxa"/>
          </w:tcPr>
          <w:p w14:paraId="397C7EB0" w14:textId="77777777" w:rsidR="00512797" w:rsidRPr="00C57832" w:rsidRDefault="00512797">
            <w:pPr>
              <w:rPr>
                <w:lang w:val="fr-BE"/>
              </w:rPr>
            </w:pPr>
            <w:r w:rsidRPr="00C57832">
              <w:rPr>
                <w:lang w:val="fr-BE"/>
              </w:rPr>
              <w:t>Commune</w:t>
            </w:r>
          </w:p>
        </w:tc>
        <w:tc>
          <w:tcPr>
            <w:tcW w:w="2302" w:type="dxa"/>
          </w:tcPr>
          <w:p w14:paraId="397C7EB1" w14:textId="77777777" w:rsidR="00512797" w:rsidRPr="00C57832" w:rsidRDefault="00512797">
            <w:pPr>
              <w:rPr>
                <w:lang w:val="fr-BE"/>
              </w:rPr>
            </w:pPr>
            <w:r w:rsidRPr="00C57832">
              <w:rPr>
                <w:lang w:val="fr-BE"/>
              </w:rPr>
              <w:t>Rue</w:t>
            </w:r>
          </w:p>
        </w:tc>
        <w:tc>
          <w:tcPr>
            <w:tcW w:w="2303" w:type="dxa"/>
          </w:tcPr>
          <w:p w14:paraId="397C7EB2" w14:textId="77777777" w:rsidR="00512797" w:rsidRPr="00C57832" w:rsidRDefault="00E2140A" w:rsidP="00E2140A">
            <w:pPr>
              <w:rPr>
                <w:lang w:val="fr-BE"/>
              </w:rPr>
            </w:pPr>
            <w:r w:rsidRPr="00C57832">
              <w:rPr>
                <w:lang w:val="fr-BE"/>
              </w:rPr>
              <w:t>Plage horaire où la collecte est interdite</w:t>
            </w:r>
          </w:p>
        </w:tc>
        <w:tc>
          <w:tcPr>
            <w:tcW w:w="2303" w:type="dxa"/>
          </w:tcPr>
          <w:p w14:paraId="397C7EB3" w14:textId="06DC8FD3" w:rsidR="00512797" w:rsidRPr="00C57832" w:rsidRDefault="00E2140A">
            <w:pPr>
              <w:rPr>
                <w:lang w:val="fr-BE"/>
              </w:rPr>
            </w:pPr>
            <w:r w:rsidRPr="00C57832">
              <w:rPr>
                <w:lang w:val="fr-BE"/>
              </w:rPr>
              <w:t>Remarque</w:t>
            </w:r>
            <w:r w:rsidR="001532DE" w:rsidRPr="00C57832">
              <w:rPr>
                <w:lang w:val="fr-BE"/>
              </w:rPr>
              <w:t>s</w:t>
            </w:r>
          </w:p>
        </w:tc>
      </w:tr>
      <w:tr w:rsidR="004B16EA" w:rsidRPr="00C57832" w14:paraId="397C7EB9" w14:textId="77777777" w:rsidTr="00FD4339">
        <w:tc>
          <w:tcPr>
            <w:tcW w:w="2194" w:type="dxa"/>
          </w:tcPr>
          <w:p w14:paraId="397C7EB5" w14:textId="77777777" w:rsidR="004B16EA" w:rsidRPr="00C57832" w:rsidRDefault="00306B75" w:rsidP="004B16EA">
            <w:pPr>
              <w:rPr>
                <w:lang w:val="fr-BE"/>
              </w:rPr>
            </w:pPr>
            <w:r w:rsidRPr="00C57832">
              <w:rPr>
                <w:szCs w:val="18"/>
                <w:lang w:val="fr-BE"/>
              </w:rPr>
              <w:fldChar w:fldCharType="begin">
                <w:ffData>
                  <w:name w:val=""/>
                  <w:enabled/>
                  <w:calcOnExit w:val="0"/>
                  <w:textInput>
                    <w:default w:val="&lt;Remplir&gt;"/>
                  </w:textInput>
                </w:ffData>
              </w:fldChar>
            </w:r>
            <w:r w:rsidR="004B16EA" w:rsidRPr="00C57832">
              <w:rPr>
                <w:szCs w:val="18"/>
                <w:lang w:val="fr-BE"/>
              </w:rPr>
              <w:instrText xml:space="preserve"> FORMTEXT </w:instrText>
            </w:r>
            <w:r w:rsidRPr="00C57832">
              <w:rPr>
                <w:szCs w:val="18"/>
                <w:lang w:val="fr-BE"/>
              </w:rPr>
            </w:r>
            <w:r w:rsidRPr="00C57832">
              <w:rPr>
                <w:szCs w:val="18"/>
                <w:lang w:val="fr-BE"/>
              </w:rPr>
              <w:fldChar w:fldCharType="separate"/>
            </w:r>
            <w:r w:rsidR="004B16EA" w:rsidRPr="00C57832">
              <w:rPr>
                <w:szCs w:val="18"/>
                <w:lang w:val="fr-BE"/>
              </w:rPr>
              <w:t>&lt;Remplir&gt;</w:t>
            </w:r>
            <w:r w:rsidRPr="00C57832">
              <w:rPr>
                <w:szCs w:val="18"/>
                <w:lang w:val="fr-BE"/>
              </w:rPr>
              <w:fldChar w:fldCharType="end"/>
            </w:r>
          </w:p>
        </w:tc>
        <w:tc>
          <w:tcPr>
            <w:tcW w:w="2302" w:type="dxa"/>
          </w:tcPr>
          <w:p w14:paraId="397C7EB6" w14:textId="77777777" w:rsidR="004B16EA" w:rsidRPr="00C57832" w:rsidRDefault="00306B75">
            <w:pPr>
              <w:rPr>
                <w:lang w:val="fr-BE"/>
              </w:rPr>
            </w:pPr>
            <w:r w:rsidRPr="00C57832">
              <w:rPr>
                <w:szCs w:val="18"/>
                <w:lang w:val="fr-BE"/>
              </w:rPr>
              <w:fldChar w:fldCharType="begin">
                <w:ffData>
                  <w:name w:val=""/>
                  <w:enabled/>
                  <w:calcOnExit w:val="0"/>
                  <w:textInput>
                    <w:default w:val="&lt;Remplir&gt;"/>
                  </w:textInput>
                </w:ffData>
              </w:fldChar>
            </w:r>
            <w:r w:rsidR="004B16EA" w:rsidRPr="00C57832">
              <w:rPr>
                <w:szCs w:val="18"/>
                <w:lang w:val="fr-BE"/>
              </w:rPr>
              <w:instrText xml:space="preserve"> FORMTEXT </w:instrText>
            </w:r>
            <w:r w:rsidRPr="00C57832">
              <w:rPr>
                <w:szCs w:val="18"/>
                <w:lang w:val="fr-BE"/>
              </w:rPr>
            </w:r>
            <w:r w:rsidRPr="00C57832">
              <w:rPr>
                <w:szCs w:val="18"/>
                <w:lang w:val="fr-BE"/>
              </w:rPr>
              <w:fldChar w:fldCharType="separate"/>
            </w:r>
            <w:r w:rsidR="004B16EA" w:rsidRPr="00C57832">
              <w:rPr>
                <w:szCs w:val="18"/>
                <w:lang w:val="fr-BE"/>
              </w:rPr>
              <w:t>&lt;Remplir&gt;</w:t>
            </w:r>
            <w:r w:rsidRPr="00C57832">
              <w:rPr>
                <w:szCs w:val="18"/>
                <w:lang w:val="fr-BE"/>
              </w:rPr>
              <w:fldChar w:fldCharType="end"/>
            </w:r>
          </w:p>
        </w:tc>
        <w:tc>
          <w:tcPr>
            <w:tcW w:w="2303" w:type="dxa"/>
          </w:tcPr>
          <w:p w14:paraId="397C7EB7" w14:textId="77777777" w:rsidR="004B16EA" w:rsidRPr="00C57832" w:rsidRDefault="00306B75">
            <w:pPr>
              <w:rPr>
                <w:lang w:val="fr-BE"/>
              </w:rPr>
            </w:pPr>
            <w:r w:rsidRPr="00C57832">
              <w:rPr>
                <w:szCs w:val="18"/>
                <w:lang w:val="fr-BE"/>
              </w:rPr>
              <w:fldChar w:fldCharType="begin">
                <w:ffData>
                  <w:name w:val=""/>
                  <w:enabled/>
                  <w:calcOnExit w:val="0"/>
                  <w:textInput>
                    <w:default w:val="&lt;Remplir&gt;"/>
                  </w:textInput>
                </w:ffData>
              </w:fldChar>
            </w:r>
            <w:r w:rsidR="004B16EA" w:rsidRPr="00C57832">
              <w:rPr>
                <w:szCs w:val="18"/>
                <w:lang w:val="fr-BE"/>
              </w:rPr>
              <w:instrText xml:space="preserve"> FORMTEXT </w:instrText>
            </w:r>
            <w:r w:rsidRPr="00C57832">
              <w:rPr>
                <w:szCs w:val="18"/>
                <w:lang w:val="fr-BE"/>
              </w:rPr>
            </w:r>
            <w:r w:rsidRPr="00C57832">
              <w:rPr>
                <w:szCs w:val="18"/>
                <w:lang w:val="fr-BE"/>
              </w:rPr>
              <w:fldChar w:fldCharType="separate"/>
            </w:r>
            <w:r w:rsidR="004B16EA" w:rsidRPr="00C57832">
              <w:rPr>
                <w:szCs w:val="18"/>
                <w:lang w:val="fr-BE"/>
              </w:rPr>
              <w:t>&lt;Remplir&gt;</w:t>
            </w:r>
            <w:r w:rsidRPr="00C57832">
              <w:rPr>
                <w:szCs w:val="18"/>
                <w:lang w:val="fr-BE"/>
              </w:rPr>
              <w:fldChar w:fldCharType="end"/>
            </w:r>
          </w:p>
        </w:tc>
        <w:tc>
          <w:tcPr>
            <w:tcW w:w="2303" w:type="dxa"/>
          </w:tcPr>
          <w:p w14:paraId="397C7EB8" w14:textId="77777777" w:rsidR="004B16EA" w:rsidRPr="00C57832" w:rsidRDefault="00306B75">
            <w:pPr>
              <w:rPr>
                <w:lang w:val="fr-BE"/>
              </w:rPr>
            </w:pPr>
            <w:r w:rsidRPr="00C57832">
              <w:rPr>
                <w:szCs w:val="18"/>
                <w:lang w:val="fr-BE"/>
              </w:rPr>
              <w:fldChar w:fldCharType="begin">
                <w:ffData>
                  <w:name w:val=""/>
                  <w:enabled/>
                  <w:calcOnExit w:val="0"/>
                  <w:textInput>
                    <w:default w:val="&lt;Remplir&gt;"/>
                  </w:textInput>
                </w:ffData>
              </w:fldChar>
            </w:r>
            <w:r w:rsidR="004B16EA" w:rsidRPr="00C57832">
              <w:rPr>
                <w:szCs w:val="18"/>
                <w:lang w:val="fr-BE"/>
              </w:rPr>
              <w:instrText xml:space="preserve"> FORMTEXT </w:instrText>
            </w:r>
            <w:r w:rsidRPr="00C57832">
              <w:rPr>
                <w:szCs w:val="18"/>
                <w:lang w:val="fr-BE"/>
              </w:rPr>
            </w:r>
            <w:r w:rsidRPr="00C57832">
              <w:rPr>
                <w:szCs w:val="18"/>
                <w:lang w:val="fr-BE"/>
              </w:rPr>
              <w:fldChar w:fldCharType="separate"/>
            </w:r>
            <w:r w:rsidR="004B16EA" w:rsidRPr="00C57832">
              <w:rPr>
                <w:szCs w:val="18"/>
                <w:lang w:val="fr-BE"/>
              </w:rPr>
              <w:t>&lt;Remplir&gt;</w:t>
            </w:r>
            <w:r w:rsidRPr="00C57832">
              <w:rPr>
                <w:szCs w:val="18"/>
                <w:lang w:val="fr-BE"/>
              </w:rPr>
              <w:fldChar w:fldCharType="end"/>
            </w:r>
          </w:p>
        </w:tc>
      </w:tr>
    </w:tbl>
    <w:p w14:paraId="397C7EBA" w14:textId="77777777" w:rsidR="00512797" w:rsidRPr="00C57832" w:rsidRDefault="00512797">
      <w:pPr>
        <w:rPr>
          <w:lang w:val="fr-BE"/>
        </w:rPr>
      </w:pPr>
    </w:p>
    <w:p w14:paraId="397C7EBB" w14:textId="77777777" w:rsidR="00E2140A" w:rsidRPr="00C57832" w:rsidRDefault="00E2140A" w:rsidP="00E2140A">
      <w:pPr>
        <w:rPr>
          <w:lang w:val="fr-BE"/>
        </w:rPr>
      </w:pPr>
      <w:r w:rsidRPr="00C57832">
        <w:rPr>
          <w:lang w:val="fr-BE"/>
        </w:rPr>
        <w:t>Le prestataire de services est censé connaître toutes les données relatives aux maisons et aux rues à desservir. Les informations nécessaires à cet effet peuvent être demandées auprès des administrations communales locales et auprès du pouvoir adjudicateur</w:t>
      </w:r>
      <w:r w:rsidR="005E7422" w:rsidRPr="00C57832">
        <w:rPr>
          <w:rStyle w:val="Appelnotedebasdep"/>
          <w:lang w:val="fr-BE"/>
        </w:rPr>
        <w:footnoteReference w:id="14"/>
      </w:r>
      <w:r w:rsidRPr="00C57832">
        <w:rPr>
          <w:lang w:val="fr-BE"/>
        </w:rPr>
        <w:t>.</w:t>
      </w:r>
    </w:p>
    <w:p w14:paraId="397C7EBC" w14:textId="6C58F4A7" w:rsidR="006B4934" w:rsidRPr="00C57832" w:rsidRDefault="006B4934">
      <w:pPr>
        <w:rPr>
          <w:lang w:val="fr-BE"/>
        </w:rPr>
      </w:pPr>
      <w:r w:rsidRPr="00C57832">
        <w:rPr>
          <w:lang w:val="fr-BE"/>
        </w:rPr>
        <w:t xml:space="preserve">Chaque point desservi par la collecte des déchets ménagers </w:t>
      </w:r>
      <w:r w:rsidR="00142932" w:rsidRPr="00C57832">
        <w:rPr>
          <w:lang w:val="fr-BE"/>
        </w:rPr>
        <w:t xml:space="preserve">résiduels </w:t>
      </w:r>
      <w:r w:rsidRPr="00C57832">
        <w:rPr>
          <w:lang w:val="fr-BE"/>
        </w:rPr>
        <w:t xml:space="preserve">doit l'être également par la collecte sélective des PMC. Les écoles doivent également être desservies. Pour ces dernières, des sacs bleus d’une contenance de 120 litres reprenant le logo de l’intercommunale </w:t>
      </w:r>
      <w:r w:rsidR="003D3A46" w:rsidRPr="00C57832">
        <w:rPr>
          <w:lang w:val="fr-BE"/>
        </w:rPr>
        <w:t xml:space="preserve">et </w:t>
      </w:r>
      <w:r w:rsidR="00404A7E" w:rsidRPr="00C57832">
        <w:rPr>
          <w:lang w:val="fr-BE"/>
        </w:rPr>
        <w:t xml:space="preserve">de </w:t>
      </w:r>
      <w:proofErr w:type="spellStart"/>
      <w:r w:rsidR="003D3A46" w:rsidRPr="00C57832">
        <w:rPr>
          <w:lang w:val="fr-BE"/>
        </w:rPr>
        <w:t>Fost</w:t>
      </w:r>
      <w:proofErr w:type="spellEnd"/>
      <w:r w:rsidR="003D3A46" w:rsidRPr="00C57832">
        <w:rPr>
          <w:lang w:val="fr-BE"/>
        </w:rPr>
        <w:t xml:space="preserve"> Plus </w:t>
      </w:r>
      <w:r w:rsidRPr="00C57832">
        <w:rPr>
          <w:lang w:val="fr-BE"/>
        </w:rPr>
        <w:t xml:space="preserve">sont mis à leur disposition. En outre, le prestataire de services doit être à même de vidanger les conteneurs 1100 </w:t>
      </w:r>
      <w:r w:rsidR="003D3A46" w:rsidRPr="00C57832">
        <w:rPr>
          <w:lang w:val="fr-BE"/>
        </w:rPr>
        <w:t>litres</w:t>
      </w:r>
      <w:r w:rsidR="00A56412" w:rsidRPr="00C57832">
        <w:rPr>
          <w:lang w:val="fr-BE"/>
        </w:rPr>
        <w:t>, verrouillés ou non,</w:t>
      </w:r>
      <w:r w:rsidRPr="00C57832">
        <w:rPr>
          <w:lang w:val="fr-BE"/>
        </w:rPr>
        <w:t xml:space="preserve"> qui seraient éventuellement utilisés par les écoles</w:t>
      </w:r>
      <w:r w:rsidR="00AF0170" w:rsidRPr="00C57832">
        <w:rPr>
          <w:lang w:val="fr-BE"/>
        </w:rPr>
        <w:t xml:space="preserve"> ou par d’autres points de collecte groupés (par exemple grosses immeubles)</w:t>
      </w:r>
      <w:r w:rsidRPr="00C57832">
        <w:rPr>
          <w:lang w:val="fr-BE"/>
        </w:rPr>
        <w:t xml:space="preserve">. Une description de ces conteneurs ainsi qu’une liste </w:t>
      </w:r>
      <w:r w:rsidR="004D2689" w:rsidRPr="00C57832">
        <w:rPr>
          <w:lang w:val="fr-BE"/>
        </w:rPr>
        <w:t xml:space="preserve">des adresses </w:t>
      </w:r>
      <w:r w:rsidRPr="00C57832">
        <w:rPr>
          <w:lang w:val="fr-BE"/>
        </w:rPr>
        <w:t xml:space="preserve">non-exhaustive des </w:t>
      </w:r>
      <w:r w:rsidR="00AF0170" w:rsidRPr="00C57832">
        <w:rPr>
          <w:lang w:val="fr-BE"/>
        </w:rPr>
        <w:t xml:space="preserve">endroits </w:t>
      </w:r>
      <w:r w:rsidR="00CA7353" w:rsidRPr="00C57832">
        <w:rPr>
          <w:lang w:val="fr-BE"/>
        </w:rPr>
        <w:t>où</w:t>
      </w:r>
      <w:r w:rsidRPr="00C57832">
        <w:rPr>
          <w:lang w:val="fr-BE"/>
        </w:rPr>
        <w:t xml:space="preserve"> ces conteneurs </w:t>
      </w:r>
      <w:r w:rsidR="00CA7353" w:rsidRPr="00C57832">
        <w:rPr>
          <w:lang w:val="fr-BE"/>
        </w:rPr>
        <w:t xml:space="preserve">sont utilisés </w:t>
      </w:r>
      <w:r w:rsidRPr="00C57832">
        <w:rPr>
          <w:lang w:val="fr-BE"/>
        </w:rPr>
        <w:t xml:space="preserve">sont reprises à l’annexe </w:t>
      </w:r>
      <w:r w:rsidR="003D3A46" w:rsidRPr="00C57832">
        <w:rPr>
          <w:lang w:val="fr-BE"/>
        </w:rPr>
        <w:t>F</w:t>
      </w:r>
      <w:r w:rsidRPr="00C57832">
        <w:rPr>
          <w:lang w:val="fr-BE"/>
        </w:rPr>
        <w:t>.</w:t>
      </w:r>
    </w:p>
    <w:p w14:paraId="397C7EBD" w14:textId="3EE7856C" w:rsidR="006B4934" w:rsidRPr="00C57832" w:rsidRDefault="006B4934">
      <w:pPr>
        <w:rPr>
          <w:lang w:val="fr-BE"/>
        </w:rPr>
      </w:pPr>
      <w:r w:rsidRPr="00C57832">
        <w:rPr>
          <w:lang w:val="fr-BE"/>
        </w:rPr>
        <w:t xml:space="preserve">La fréquence de collecte est fixée à </w:t>
      </w:r>
      <w:r w:rsidR="00306B75" w:rsidRPr="00C57832">
        <w:rPr>
          <w:szCs w:val="18"/>
          <w:lang w:val="fr-BE"/>
        </w:rPr>
        <w:fldChar w:fldCharType="begin">
          <w:ffData>
            <w:name w:val=""/>
            <w:enabled/>
            <w:calcOnExit w:val="0"/>
            <w:textInput>
              <w:default w:val="&lt;indiquer la fréquence de collecte&gt;"/>
            </w:textInput>
          </w:ffData>
        </w:fldChar>
      </w:r>
      <w:r w:rsidR="00B074C5"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00B074C5" w:rsidRPr="00C57832">
        <w:rPr>
          <w:szCs w:val="18"/>
          <w:lang w:val="fr-BE"/>
        </w:rPr>
        <w:t>&lt;indiquer la fréquence de collecte&gt;</w:t>
      </w:r>
      <w:r w:rsidR="00306B75" w:rsidRPr="00C57832">
        <w:rPr>
          <w:szCs w:val="18"/>
          <w:lang w:val="fr-BE"/>
        </w:rPr>
        <w:fldChar w:fldCharType="end"/>
      </w:r>
      <w:r w:rsidRPr="00C57832">
        <w:rPr>
          <w:lang w:val="fr-BE"/>
        </w:rPr>
        <w:t>. Les semaines de collecte de chaque commune ou zone de collecte seront fixées principalement avant le début de la mission. On entend par là que</w:t>
      </w:r>
      <w:r w:rsidR="000E2189" w:rsidRPr="00C57832">
        <w:rPr>
          <w:lang w:val="fr-BE"/>
        </w:rPr>
        <w:t xml:space="preserve"> chaque mois</w:t>
      </w:r>
      <w:r w:rsidRPr="00C57832">
        <w:rPr>
          <w:lang w:val="fr-BE"/>
        </w:rPr>
        <w:t xml:space="preserve">, pour </w:t>
      </w:r>
      <w:r w:rsidRPr="0012737C">
        <w:rPr>
          <w:lang w:val="fr-BE"/>
        </w:rPr>
        <w:t xml:space="preserve">toutes les communes, deux </w:t>
      </w:r>
      <w:r w:rsidR="00967CB4" w:rsidRPr="0012737C">
        <w:rPr>
          <w:lang w:val="fr-BE"/>
        </w:rPr>
        <w:t xml:space="preserve">(ou quatre) </w:t>
      </w:r>
      <w:r w:rsidRPr="0012737C">
        <w:rPr>
          <w:lang w:val="fr-BE"/>
        </w:rPr>
        <w:t>semaines</w:t>
      </w:r>
      <w:r w:rsidRPr="00C57832">
        <w:rPr>
          <w:lang w:val="fr-BE"/>
        </w:rPr>
        <w:t xml:space="preserve"> du mois et un jour de cette semaine seront réservés à la collecte des PMC (par exemple le premier et le troisième lundi du mois).  Ces périodes précises d’exécution seront fixées dans un </w:t>
      </w:r>
      <w:r w:rsidR="00BD39E1" w:rsidRPr="00C57832">
        <w:rPr>
          <w:lang w:val="fr-BE"/>
        </w:rPr>
        <w:t>schéma de collecte</w:t>
      </w:r>
      <w:r w:rsidRPr="00C57832">
        <w:rPr>
          <w:lang w:val="fr-BE"/>
        </w:rPr>
        <w:t>. Ce schéma de collecte comprend</w:t>
      </w:r>
      <w:r w:rsidR="00404A7E" w:rsidRPr="00C57832">
        <w:rPr>
          <w:lang w:val="fr-BE"/>
        </w:rPr>
        <w:t>ra</w:t>
      </w:r>
      <w:r w:rsidRPr="00C57832">
        <w:rPr>
          <w:lang w:val="fr-BE"/>
        </w:rPr>
        <w:t xml:space="preserve"> la division du territoire d’action en différentes zones de </w:t>
      </w:r>
      <w:r w:rsidRPr="00C57832">
        <w:rPr>
          <w:lang w:val="fr-BE"/>
        </w:rPr>
        <w:lastRenderedPageBreak/>
        <w:t xml:space="preserve">collecte, avec pour chaque zone, les dates respectives de collecte des PMC. Ce schéma est décidé de commun accord entre le pouvoir adjudicateur et le prestataire de services. Ce schéma de collecte peut être revu chaque année en vue d’une utilisation plus efficace des moyens après accord des deux parties.  </w:t>
      </w:r>
    </w:p>
    <w:p w14:paraId="397C7EBE" w14:textId="77777777" w:rsidR="006B4934" w:rsidRPr="00C57832" w:rsidRDefault="006B4934">
      <w:pPr>
        <w:rPr>
          <w:lang w:val="fr-BE"/>
        </w:rPr>
      </w:pPr>
      <w:r w:rsidRPr="00C57832">
        <w:rPr>
          <w:lang w:val="fr-BE"/>
        </w:rPr>
        <w:t xml:space="preserve">Les jours de </w:t>
      </w:r>
      <w:r w:rsidR="001917C6" w:rsidRPr="00C57832">
        <w:rPr>
          <w:lang w:val="fr-BE"/>
        </w:rPr>
        <w:t xml:space="preserve">rattrapage </w:t>
      </w:r>
      <w:r w:rsidRPr="00C57832">
        <w:rPr>
          <w:lang w:val="fr-BE"/>
        </w:rPr>
        <w:t xml:space="preserve">des jours </w:t>
      </w:r>
      <w:r w:rsidR="001917C6" w:rsidRPr="00C57832">
        <w:rPr>
          <w:lang w:val="fr-BE"/>
        </w:rPr>
        <w:t xml:space="preserve">fériés légaux </w:t>
      </w:r>
      <w:r w:rsidR="00FB73B9" w:rsidRPr="00C57832">
        <w:rPr>
          <w:lang w:val="fr-BE"/>
        </w:rPr>
        <w:t>belges</w:t>
      </w:r>
      <w:r w:rsidRPr="00C57832">
        <w:rPr>
          <w:lang w:val="fr-BE"/>
        </w:rPr>
        <w:t xml:space="preserve"> sont fixés</w:t>
      </w:r>
      <w:r w:rsidR="001A36E9" w:rsidRPr="00C57832">
        <w:rPr>
          <w:lang w:val="fr-BE"/>
        </w:rPr>
        <w:t xml:space="preserve"> chaque année</w:t>
      </w:r>
      <w:r w:rsidRPr="00C57832">
        <w:rPr>
          <w:lang w:val="fr-BE"/>
        </w:rPr>
        <w:t xml:space="preserve"> </w:t>
      </w:r>
      <w:r w:rsidR="0057369C" w:rsidRPr="00C57832">
        <w:rPr>
          <w:lang w:val="fr-BE"/>
        </w:rPr>
        <w:t>en</w:t>
      </w:r>
      <w:r w:rsidRPr="00C57832">
        <w:rPr>
          <w:lang w:val="fr-BE"/>
        </w:rPr>
        <w:t xml:space="preserve"> concertation </w:t>
      </w:r>
      <w:r w:rsidR="001A36E9" w:rsidRPr="00C57832">
        <w:rPr>
          <w:lang w:val="fr-BE"/>
        </w:rPr>
        <w:t xml:space="preserve">entre </w:t>
      </w:r>
      <w:r w:rsidRPr="00C57832">
        <w:rPr>
          <w:lang w:val="fr-BE"/>
        </w:rPr>
        <w:t>le pouvoir adjudicateur et le prestataire de services.</w:t>
      </w:r>
    </w:p>
    <w:p w14:paraId="397C7EBF" w14:textId="704A93E6" w:rsidR="006B4934" w:rsidRPr="00C57832" w:rsidRDefault="006B4934">
      <w:pPr>
        <w:rPr>
          <w:lang w:val="fr-BE"/>
        </w:rPr>
      </w:pPr>
      <w:r w:rsidRPr="00C57832">
        <w:rPr>
          <w:lang w:val="fr-BE"/>
        </w:rPr>
        <w:t xml:space="preserve">Le point de départ et de fin des tournées de collecte ainsi que l’ordre des rues </w:t>
      </w:r>
      <w:r w:rsidR="001A36E9" w:rsidRPr="00C57832">
        <w:rPr>
          <w:lang w:val="fr-BE"/>
        </w:rPr>
        <w:t xml:space="preserve">à </w:t>
      </w:r>
      <w:r w:rsidR="00620CB3" w:rsidRPr="00C57832">
        <w:rPr>
          <w:lang w:val="fr-BE"/>
        </w:rPr>
        <w:t>desservir</w:t>
      </w:r>
      <w:r w:rsidRPr="00C57832">
        <w:rPr>
          <w:lang w:val="fr-BE"/>
        </w:rPr>
        <w:t xml:space="preserve"> </w:t>
      </w:r>
      <w:r w:rsidR="00FB73B9" w:rsidRPr="00C57832">
        <w:rPr>
          <w:lang w:val="fr-BE"/>
        </w:rPr>
        <w:t>sont</w:t>
      </w:r>
      <w:r w:rsidRPr="00C57832">
        <w:rPr>
          <w:lang w:val="fr-BE"/>
        </w:rPr>
        <w:t xml:space="preserve"> communiqué</w:t>
      </w:r>
      <w:r w:rsidR="00FB73B9" w:rsidRPr="00C57832">
        <w:rPr>
          <w:lang w:val="fr-BE"/>
        </w:rPr>
        <w:t>s</w:t>
      </w:r>
      <w:r w:rsidRPr="00C57832">
        <w:rPr>
          <w:lang w:val="fr-BE"/>
        </w:rPr>
        <w:t xml:space="preserve"> par le prestataire de services au pouvoir adjudicateur.</w:t>
      </w:r>
      <w:r w:rsidR="008342D2" w:rsidRPr="00C57832">
        <w:rPr>
          <w:lang w:val="fr-BE"/>
        </w:rPr>
        <w:t xml:space="preserve"> </w:t>
      </w:r>
      <w:r w:rsidR="005319F6" w:rsidRPr="00C57832">
        <w:rPr>
          <w:lang w:val="fr-BE"/>
        </w:rPr>
        <w:t>Ce dernier a la possibilité d’apporter des modifications en vue d’une optimalisation des prestations.</w:t>
      </w:r>
    </w:p>
    <w:p w14:paraId="397C7EC0" w14:textId="77777777" w:rsidR="005319F6" w:rsidRPr="00C57832" w:rsidRDefault="005319F6" w:rsidP="005319F6">
      <w:pPr>
        <w:rPr>
          <w:lang w:val="fr-BE"/>
        </w:rPr>
      </w:pPr>
      <w:r w:rsidRPr="00C57832">
        <w:rPr>
          <w:lang w:val="fr-BE"/>
        </w:rPr>
        <w:t xml:space="preserve">Le prestataire de services est tenu de réaliser complètement le programme prévu chaque jour. En cas de situation exceptionnelle, la partie de la collecte qui n’aurait pas pu être réalisée le jour prévu sera effectuée en principe le lendemain. </w:t>
      </w:r>
      <w:r w:rsidR="0007475C" w:rsidRPr="00C57832">
        <w:rPr>
          <w:lang w:val="fr-BE"/>
        </w:rPr>
        <w:t xml:space="preserve">Dans </w:t>
      </w:r>
      <w:r w:rsidR="00142932" w:rsidRPr="00C57832">
        <w:rPr>
          <w:lang w:val="fr-BE"/>
        </w:rPr>
        <w:t xml:space="preserve">chaque </w:t>
      </w:r>
      <w:r w:rsidR="0007475C" w:rsidRPr="00C57832">
        <w:rPr>
          <w:lang w:val="fr-BE"/>
        </w:rPr>
        <w:t xml:space="preserve">cas, </w:t>
      </w:r>
      <w:r w:rsidRPr="00C57832">
        <w:rPr>
          <w:lang w:val="fr-BE"/>
        </w:rPr>
        <w:t>le prestataire de services doit en informer immédiatement le pouvoir adjudicateur et transmettre son plan d’approche.</w:t>
      </w:r>
    </w:p>
    <w:p w14:paraId="397C7EC1" w14:textId="77777777" w:rsidR="00BF1186" w:rsidRPr="00C57832" w:rsidRDefault="00BF1186" w:rsidP="00BF1186">
      <w:pPr>
        <w:rPr>
          <w:lang w:val="fr-BE"/>
        </w:rPr>
      </w:pPr>
      <w:r w:rsidRPr="00C57832">
        <w:rPr>
          <w:lang w:val="fr-BE"/>
        </w:rPr>
        <w:t xml:space="preserve">Tout </w:t>
      </w:r>
      <w:r w:rsidR="0056413B" w:rsidRPr="00C57832">
        <w:rPr>
          <w:lang w:val="fr-BE"/>
        </w:rPr>
        <w:t xml:space="preserve">déchargement de PMC </w:t>
      </w:r>
      <w:r w:rsidRPr="00C57832">
        <w:rPr>
          <w:lang w:val="fr-BE"/>
        </w:rPr>
        <w:t>sur la voie publique est interdit.</w:t>
      </w:r>
      <w:r w:rsidR="0056413B" w:rsidRPr="00C57832">
        <w:rPr>
          <w:lang w:val="fr-BE"/>
        </w:rPr>
        <w:t xml:space="preserve"> </w:t>
      </w:r>
      <w:r w:rsidR="005319F6" w:rsidRPr="00C57832">
        <w:rPr>
          <w:lang w:val="fr-BE"/>
        </w:rPr>
        <w:t xml:space="preserve">Le rassemblement de PMC, </w:t>
      </w:r>
      <w:r w:rsidR="003313C3" w:rsidRPr="00C57832">
        <w:rPr>
          <w:lang w:val="fr-BE"/>
        </w:rPr>
        <w:t xml:space="preserve">en des </w:t>
      </w:r>
      <w:r w:rsidR="00831A8C" w:rsidRPr="00C57832">
        <w:rPr>
          <w:lang w:val="fr-BE"/>
        </w:rPr>
        <w:t>points</w:t>
      </w:r>
      <w:r w:rsidR="0056413B" w:rsidRPr="00C57832">
        <w:rPr>
          <w:lang w:val="fr-BE"/>
        </w:rPr>
        <w:t xml:space="preserve"> centraux</w:t>
      </w:r>
      <w:r w:rsidR="00FB73B9" w:rsidRPr="00C57832">
        <w:rPr>
          <w:lang w:val="fr-BE"/>
        </w:rPr>
        <w:t>,</w:t>
      </w:r>
      <w:r w:rsidR="0056413B" w:rsidRPr="00C57832">
        <w:rPr>
          <w:lang w:val="fr-BE"/>
        </w:rPr>
        <w:t xml:space="preserve"> </w:t>
      </w:r>
      <w:r w:rsidR="005319F6" w:rsidRPr="00C57832">
        <w:rPr>
          <w:lang w:val="fr-BE"/>
        </w:rPr>
        <w:t xml:space="preserve">et </w:t>
      </w:r>
      <w:r w:rsidR="0056413B" w:rsidRPr="00C57832">
        <w:rPr>
          <w:lang w:val="fr-BE"/>
        </w:rPr>
        <w:t xml:space="preserve">préalablement à son déchargement, </w:t>
      </w:r>
      <w:r w:rsidR="005319F6" w:rsidRPr="00C57832">
        <w:rPr>
          <w:lang w:val="fr-BE"/>
        </w:rPr>
        <w:t xml:space="preserve">est autorisé </w:t>
      </w:r>
      <w:r w:rsidR="0056413B" w:rsidRPr="00C57832">
        <w:rPr>
          <w:lang w:val="fr-BE"/>
        </w:rPr>
        <w:t>à condition que :</w:t>
      </w:r>
    </w:p>
    <w:p w14:paraId="397C7EC2" w14:textId="77777777" w:rsidR="00E03C1A" w:rsidRPr="00C57832" w:rsidRDefault="005319F6" w:rsidP="00BB166A">
      <w:pPr>
        <w:pStyle w:val="Listepuces"/>
        <w:numPr>
          <w:ilvl w:val="0"/>
          <w:numId w:val="16"/>
        </w:numPr>
        <w:rPr>
          <w:lang w:val="fr-BE"/>
        </w:rPr>
      </w:pPr>
      <w:proofErr w:type="gramStart"/>
      <w:r w:rsidRPr="00C57832">
        <w:rPr>
          <w:lang w:val="fr-BE"/>
        </w:rPr>
        <w:t>il</w:t>
      </w:r>
      <w:proofErr w:type="gramEnd"/>
      <w:r w:rsidRPr="00C57832">
        <w:rPr>
          <w:lang w:val="fr-BE"/>
        </w:rPr>
        <w:t xml:space="preserve"> y ait eu un contrôle de qualité sur la fraction livrée;</w:t>
      </w:r>
    </w:p>
    <w:p w14:paraId="397C7EC3" w14:textId="77777777" w:rsidR="00E03C1A" w:rsidRPr="00C57832" w:rsidRDefault="005319F6" w:rsidP="00BB166A">
      <w:pPr>
        <w:pStyle w:val="Listepuces"/>
        <w:numPr>
          <w:ilvl w:val="0"/>
          <w:numId w:val="16"/>
        </w:numPr>
        <w:rPr>
          <w:lang w:val="fr-BE"/>
        </w:rPr>
      </w:pPr>
      <w:proofErr w:type="gramStart"/>
      <w:r w:rsidRPr="00C57832">
        <w:rPr>
          <w:lang w:val="fr-BE"/>
        </w:rPr>
        <w:t>cela</w:t>
      </w:r>
      <w:proofErr w:type="gramEnd"/>
      <w:r w:rsidRPr="00C57832">
        <w:rPr>
          <w:lang w:val="fr-BE"/>
        </w:rPr>
        <w:t xml:space="preserve"> n’engendre aucune nuisance pour les usagers de la route;</w:t>
      </w:r>
    </w:p>
    <w:p w14:paraId="397C7EC4" w14:textId="77777777" w:rsidR="00E03C1A" w:rsidRPr="00C57832" w:rsidRDefault="005319F6" w:rsidP="00BB166A">
      <w:pPr>
        <w:pStyle w:val="Listepuces"/>
        <w:numPr>
          <w:ilvl w:val="0"/>
          <w:numId w:val="16"/>
        </w:numPr>
        <w:rPr>
          <w:lang w:val="fr-BE"/>
        </w:rPr>
      </w:pPr>
      <w:proofErr w:type="gramStart"/>
      <w:r w:rsidRPr="00C57832">
        <w:rPr>
          <w:lang w:val="fr-BE"/>
        </w:rPr>
        <w:t>le</w:t>
      </w:r>
      <w:proofErr w:type="gramEnd"/>
      <w:r w:rsidRPr="00C57832">
        <w:rPr>
          <w:lang w:val="fr-BE"/>
        </w:rPr>
        <w:t xml:space="preserve"> PMC reste maximum une heure </w:t>
      </w:r>
      <w:r w:rsidR="00831A8C" w:rsidRPr="00C57832">
        <w:rPr>
          <w:lang w:val="fr-BE"/>
        </w:rPr>
        <w:t>au point central de rassemblement</w:t>
      </w:r>
      <w:r w:rsidRPr="00C57832">
        <w:rPr>
          <w:lang w:val="fr-BE"/>
        </w:rPr>
        <w:t>;</w:t>
      </w:r>
    </w:p>
    <w:p w14:paraId="397C7EC5" w14:textId="77777777" w:rsidR="00E03C1A" w:rsidRPr="00C57832" w:rsidRDefault="005319F6" w:rsidP="00BB166A">
      <w:pPr>
        <w:pStyle w:val="Listepuces"/>
        <w:numPr>
          <w:ilvl w:val="0"/>
          <w:numId w:val="16"/>
        </w:numPr>
        <w:rPr>
          <w:lang w:val="fr-BE"/>
        </w:rPr>
      </w:pPr>
      <w:proofErr w:type="gramStart"/>
      <w:r w:rsidRPr="00C57832">
        <w:rPr>
          <w:lang w:val="fr-BE"/>
        </w:rPr>
        <w:t>la</w:t>
      </w:r>
      <w:proofErr w:type="gramEnd"/>
      <w:r w:rsidRPr="00C57832">
        <w:rPr>
          <w:lang w:val="fr-BE"/>
        </w:rPr>
        <w:t xml:space="preserve"> propreté de la rue </w:t>
      </w:r>
      <w:r w:rsidR="00831A8C" w:rsidRPr="00C57832">
        <w:rPr>
          <w:lang w:val="fr-BE"/>
        </w:rPr>
        <w:t>est assurée après le chargement</w:t>
      </w:r>
      <w:r w:rsidRPr="00C57832">
        <w:rPr>
          <w:lang w:val="fr-BE"/>
        </w:rPr>
        <w:t>.</w:t>
      </w:r>
    </w:p>
    <w:p w14:paraId="397C7EC6" w14:textId="77777777" w:rsidR="00831A8C" w:rsidRPr="00C57832" w:rsidRDefault="00831A8C" w:rsidP="00BF1186">
      <w:pPr>
        <w:rPr>
          <w:lang w:val="fr-BE"/>
        </w:rPr>
      </w:pPr>
    </w:p>
    <w:p w14:paraId="397C7EC7" w14:textId="2A2B2D23" w:rsidR="00BF1186" w:rsidRPr="00C57832" w:rsidRDefault="00BF1186" w:rsidP="00BF1186">
      <w:pPr>
        <w:rPr>
          <w:lang w:val="fr-BE"/>
        </w:rPr>
      </w:pPr>
      <w:r w:rsidRPr="00C57832">
        <w:rPr>
          <w:lang w:val="fr-BE"/>
        </w:rPr>
        <w:t xml:space="preserve">Le prestataire de services ramasse tous les déchets tombés sur la voie publique, </w:t>
      </w:r>
      <w:r w:rsidR="003313C3" w:rsidRPr="00C57832">
        <w:rPr>
          <w:lang w:val="fr-BE"/>
        </w:rPr>
        <w:t xml:space="preserve">du fait </w:t>
      </w:r>
      <w:r w:rsidR="001532DE" w:rsidRPr="00C57832">
        <w:rPr>
          <w:lang w:val="fr-BE"/>
        </w:rPr>
        <w:t>de son</w:t>
      </w:r>
      <w:r w:rsidRPr="00C57832">
        <w:rPr>
          <w:lang w:val="fr-BE"/>
        </w:rPr>
        <w:t xml:space="preserve"> activité de collecte, de déchargement ou de fonctionnement du camion.  Chaque camion de collecte est équipé du matériel nécessaire à cet effet (brosse</w:t>
      </w:r>
      <w:r w:rsidR="00E2418D" w:rsidRPr="00C57832">
        <w:rPr>
          <w:lang w:val="fr-BE"/>
        </w:rPr>
        <w:t xml:space="preserve"> </w:t>
      </w:r>
      <w:r w:rsidRPr="00C57832">
        <w:rPr>
          <w:lang w:val="fr-BE"/>
        </w:rPr>
        <w:t>+</w:t>
      </w:r>
      <w:r w:rsidR="00E2418D" w:rsidRPr="00C57832">
        <w:rPr>
          <w:lang w:val="fr-BE"/>
        </w:rPr>
        <w:t xml:space="preserve"> </w:t>
      </w:r>
      <w:r w:rsidRPr="00C57832">
        <w:rPr>
          <w:lang w:val="fr-BE"/>
        </w:rPr>
        <w:t xml:space="preserve">pelle). </w:t>
      </w:r>
    </w:p>
    <w:p w14:paraId="397C7EC8" w14:textId="69728FBB" w:rsidR="006B4934" w:rsidRPr="00C57832" w:rsidRDefault="006B4934" w:rsidP="00BB166A">
      <w:pPr>
        <w:pStyle w:val="Paragraphedeliste"/>
        <w:numPr>
          <w:ilvl w:val="1"/>
          <w:numId w:val="24"/>
        </w:numPr>
        <w:rPr>
          <w:sz w:val="22"/>
          <w:lang w:val="fr-BE" w:eastAsia="nl-NL"/>
        </w:rPr>
      </w:pPr>
      <w:bookmarkStart w:id="126" w:name="_Toc200945522"/>
      <w:bookmarkStart w:id="127" w:name="_Toc201025153"/>
      <w:bookmarkStart w:id="128" w:name="_Toc201587460"/>
      <w:bookmarkStart w:id="129" w:name="_Toc513197763"/>
      <w:r w:rsidRPr="00C57832">
        <w:rPr>
          <w:sz w:val="22"/>
          <w:lang w:val="fr-BE" w:eastAsia="nl-NL"/>
        </w:rPr>
        <w:t xml:space="preserve">Transport et </w:t>
      </w:r>
      <w:r w:rsidR="002E6479" w:rsidRPr="00C57832">
        <w:rPr>
          <w:sz w:val="22"/>
          <w:lang w:val="fr-BE" w:eastAsia="nl-NL"/>
        </w:rPr>
        <w:t xml:space="preserve">versage </w:t>
      </w:r>
      <w:r w:rsidRPr="00C57832">
        <w:rPr>
          <w:sz w:val="22"/>
          <w:lang w:val="fr-BE" w:eastAsia="nl-NL"/>
        </w:rPr>
        <w:t>des PMC vers le centre de tri (ou la station de transfert)</w:t>
      </w:r>
      <w:bookmarkEnd w:id="126"/>
      <w:bookmarkEnd w:id="127"/>
      <w:bookmarkEnd w:id="128"/>
      <w:bookmarkEnd w:id="129"/>
    </w:p>
    <w:p w14:paraId="397C7EC9" w14:textId="477D572A" w:rsidR="00356826" w:rsidRPr="00C57832" w:rsidRDefault="00B27C97">
      <w:pPr>
        <w:rPr>
          <w:lang w:val="fr-BE"/>
        </w:rPr>
      </w:pPr>
      <w:r w:rsidRPr="00C57832">
        <w:rPr>
          <w:lang w:val="fr-BE"/>
        </w:rPr>
        <w:t xml:space="preserve">Le prestataire de service transportera et déchargera les PMC collectés </w:t>
      </w:r>
      <w:r w:rsidR="00356826" w:rsidRPr="00C57832">
        <w:rPr>
          <w:lang w:val="fr-BE"/>
        </w:rPr>
        <w:t>en porte-à-porte vers</w:t>
      </w:r>
      <w:r w:rsidR="009E7113" w:rsidRPr="00C57832">
        <w:rPr>
          <w:lang w:val="fr-BE"/>
        </w:rPr>
        <w:t xml:space="preserve"> </w:t>
      </w:r>
      <w:r w:rsidR="009E7113" w:rsidRPr="00C57832">
        <w:rPr>
          <w:szCs w:val="18"/>
          <w:lang w:val="fr-BE"/>
        </w:rPr>
        <w:fldChar w:fldCharType="begin">
          <w:ffData>
            <w:name w:val=""/>
            <w:enabled/>
            <w:calcOnExit w:val="0"/>
            <w:textInput>
              <w:default w:val="&lt;indiquer nom et adresse centre de tri ou station de transfer&gt;"/>
            </w:textInput>
          </w:ffData>
        </w:fldChar>
      </w:r>
      <w:r w:rsidR="009E7113" w:rsidRPr="00C57832">
        <w:rPr>
          <w:szCs w:val="18"/>
          <w:lang w:val="fr-BE"/>
        </w:rPr>
        <w:instrText xml:space="preserve"> FORMTEXT </w:instrText>
      </w:r>
      <w:r w:rsidR="009E7113" w:rsidRPr="00C57832">
        <w:rPr>
          <w:szCs w:val="18"/>
          <w:lang w:val="fr-BE"/>
        </w:rPr>
      </w:r>
      <w:r w:rsidR="009E7113" w:rsidRPr="00C57832">
        <w:rPr>
          <w:szCs w:val="18"/>
          <w:lang w:val="fr-BE"/>
        </w:rPr>
        <w:fldChar w:fldCharType="separate"/>
      </w:r>
      <w:r w:rsidR="009E7113" w:rsidRPr="00C57832">
        <w:rPr>
          <w:szCs w:val="18"/>
          <w:lang w:val="fr-BE"/>
        </w:rPr>
        <w:t xml:space="preserve">&lt;indiquer nom et adresse centre de tri ou station de </w:t>
      </w:r>
      <w:r w:rsidR="007A080E" w:rsidRPr="00C57832">
        <w:rPr>
          <w:szCs w:val="18"/>
          <w:lang w:val="fr-BE"/>
        </w:rPr>
        <w:t>transfert</w:t>
      </w:r>
      <w:r w:rsidR="009E7113" w:rsidRPr="00C57832">
        <w:rPr>
          <w:szCs w:val="18"/>
          <w:lang w:val="fr-BE"/>
        </w:rPr>
        <w:t>&gt;</w:t>
      </w:r>
      <w:r w:rsidR="009E7113" w:rsidRPr="00C57832">
        <w:rPr>
          <w:szCs w:val="18"/>
          <w:lang w:val="fr-BE"/>
        </w:rPr>
        <w:fldChar w:fldCharType="end"/>
      </w:r>
      <w:r w:rsidR="00356826" w:rsidRPr="00C57832">
        <w:rPr>
          <w:lang w:val="fr-BE"/>
        </w:rPr>
        <w:t>.</w:t>
      </w:r>
    </w:p>
    <w:p w14:paraId="397C7ECA" w14:textId="77777777" w:rsidR="004D0E3B" w:rsidRPr="00C57832" w:rsidRDefault="003313C3">
      <w:pPr>
        <w:rPr>
          <w:lang w:val="fr-BE"/>
        </w:rPr>
      </w:pPr>
      <w:r w:rsidRPr="00C57832">
        <w:rPr>
          <w:lang w:val="fr-BE"/>
        </w:rPr>
        <w:t xml:space="preserve">Le pouvoir adjudicateur informera le </w:t>
      </w:r>
      <w:r w:rsidR="00356826" w:rsidRPr="00C57832">
        <w:rPr>
          <w:lang w:val="fr-BE"/>
        </w:rPr>
        <w:t xml:space="preserve">prestataire de services des heures </w:t>
      </w:r>
      <w:r w:rsidR="001A36E9" w:rsidRPr="00C57832">
        <w:rPr>
          <w:lang w:val="fr-BE"/>
        </w:rPr>
        <w:t xml:space="preserve">de livraison </w:t>
      </w:r>
      <w:r w:rsidR="00356826" w:rsidRPr="00C57832">
        <w:rPr>
          <w:lang w:val="fr-BE"/>
        </w:rPr>
        <w:t xml:space="preserve">du centre de tri (ou </w:t>
      </w:r>
      <w:r w:rsidR="00404A7E" w:rsidRPr="00C57832">
        <w:rPr>
          <w:lang w:val="fr-BE"/>
        </w:rPr>
        <w:t xml:space="preserve">de la </w:t>
      </w:r>
      <w:r w:rsidR="00356826" w:rsidRPr="00C57832">
        <w:rPr>
          <w:lang w:val="fr-BE"/>
        </w:rPr>
        <w:t>station de transfert</w:t>
      </w:r>
      <w:r w:rsidR="00B074C5" w:rsidRPr="00C57832">
        <w:rPr>
          <w:lang w:val="fr-BE"/>
        </w:rPr>
        <w:t xml:space="preserve"> proposée par celui-ci</w:t>
      </w:r>
      <w:r w:rsidR="00356826" w:rsidRPr="00C57832">
        <w:rPr>
          <w:lang w:val="fr-BE"/>
        </w:rPr>
        <w:t>)</w:t>
      </w:r>
      <w:r w:rsidRPr="00C57832">
        <w:rPr>
          <w:lang w:val="fr-BE"/>
        </w:rPr>
        <w:t xml:space="preserve"> et l’informera à temps des changements </w:t>
      </w:r>
      <w:r w:rsidR="00831A8C" w:rsidRPr="00C57832">
        <w:rPr>
          <w:lang w:val="fr-BE"/>
        </w:rPr>
        <w:t>éventuels</w:t>
      </w:r>
      <w:r w:rsidRPr="00C57832">
        <w:rPr>
          <w:lang w:val="fr-BE"/>
        </w:rPr>
        <w:t xml:space="preserve"> de destination en cours de contrat.</w:t>
      </w:r>
    </w:p>
    <w:p w14:paraId="397C7ECB" w14:textId="3CD10CAF" w:rsidR="006B4934" w:rsidRPr="00C57832" w:rsidRDefault="006B4934" w:rsidP="00C76C93">
      <w:pPr>
        <w:pBdr>
          <w:top w:val="single" w:sz="4" w:space="1" w:color="auto"/>
          <w:left w:val="single" w:sz="4" w:space="4" w:color="auto"/>
          <w:bottom w:val="single" w:sz="4" w:space="1" w:color="auto"/>
          <w:right w:val="single" w:sz="4" w:space="31" w:color="auto"/>
        </w:pBdr>
        <w:ind w:right="1699"/>
        <w:jc w:val="both"/>
        <w:rPr>
          <w:rFonts w:eastAsia="Times New Roman"/>
          <w:b/>
          <w:color w:val="000000"/>
          <w:szCs w:val="18"/>
          <w:lang w:val="fr-BE" w:eastAsia="nl-NL"/>
        </w:rPr>
      </w:pPr>
      <w:r w:rsidRPr="00C57832">
        <w:rPr>
          <w:rFonts w:eastAsia="Times New Roman"/>
          <w:b/>
          <w:color w:val="000000"/>
          <w:szCs w:val="18"/>
          <w:lang w:val="fr-BE" w:eastAsia="nl-NL"/>
        </w:rPr>
        <w:t xml:space="preserve">Lot </w:t>
      </w:r>
      <w:proofErr w:type="gramStart"/>
      <w:r w:rsidRPr="00C57832">
        <w:rPr>
          <w:rFonts w:eastAsia="Times New Roman"/>
          <w:b/>
          <w:color w:val="000000"/>
          <w:szCs w:val="18"/>
          <w:lang w:val="fr-BE" w:eastAsia="nl-NL"/>
        </w:rPr>
        <w:t>2:</w:t>
      </w:r>
      <w:proofErr w:type="gramEnd"/>
      <w:r w:rsidRPr="00C57832">
        <w:rPr>
          <w:rFonts w:eastAsia="Times New Roman"/>
          <w:b/>
          <w:color w:val="000000"/>
          <w:szCs w:val="18"/>
          <w:lang w:val="fr-BE" w:eastAsia="nl-NL"/>
        </w:rPr>
        <w:t xml:space="preserve"> Collecte du PMC </w:t>
      </w:r>
      <w:r w:rsidR="00CF4917" w:rsidRPr="00C57832">
        <w:rPr>
          <w:rFonts w:eastAsia="Times New Roman"/>
          <w:b/>
          <w:color w:val="000000"/>
          <w:szCs w:val="18"/>
          <w:lang w:val="fr-BE" w:eastAsia="nl-NL"/>
        </w:rPr>
        <w:t xml:space="preserve">sur les </w:t>
      </w:r>
      <w:proofErr w:type="spellStart"/>
      <w:r w:rsidR="00872188" w:rsidRPr="00C57832">
        <w:rPr>
          <w:rFonts w:eastAsia="Times New Roman"/>
          <w:b/>
          <w:color w:val="000000"/>
          <w:szCs w:val="18"/>
          <w:lang w:val="fr-BE" w:eastAsia="nl-NL"/>
        </w:rPr>
        <w:t>recyparc</w:t>
      </w:r>
      <w:r w:rsidR="00CF4917" w:rsidRPr="00C57832">
        <w:rPr>
          <w:rFonts w:eastAsia="Times New Roman"/>
          <w:b/>
          <w:color w:val="000000"/>
          <w:szCs w:val="18"/>
          <w:lang w:val="fr-BE" w:eastAsia="nl-NL"/>
        </w:rPr>
        <w:t>s</w:t>
      </w:r>
      <w:proofErr w:type="spellEnd"/>
    </w:p>
    <w:p w14:paraId="397C7ECC" w14:textId="45611E49" w:rsidR="006B4934" w:rsidRPr="00C57832" w:rsidRDefault="006B4934" w:rsidP="00BB166A">
      <w:pPr>
        <w:pStyle w:val="Paragraphedeliste"/>
        <w:numPr>
          <w:ilvl w:val="1"/>
          <w:numId w:val="24"/>
        </w:numPr>
        <w:rPr>
          <w:sz w:val="22"/>
          <w:lang w:val="fr-BE" w:eastAsia="nl-NL"/>
        </w:rPr>
      </w:pPr>
      <w:bookmarkStart w:id="130" w:name="_Toc200945523"/>
      <w:bookmarkStart w:id="131" w:name="_Toc201025154"/>
      <w:bookmarkStart w:id="132" w:name="_Toc201587461"/>
      <w:bookmarkStart w:id="133" w:name="_Toc513197764"/>
      <w:r w:rsidRPr="00C57832">
        <w:rPr>
          <w:sz w:val="22"/>
          <w:lang w:val="fr-BE" w:eastAsia="nl-NL"/>
        </w:rPr>
        <w:t xml:space="preserve">Placement et location des conteneurs dans les </w:t>
      </w:r>
      <w:bookmarkEnd w:id="130"/>
      <w:bookmarkEnd w:id="131"/>
      <w:bookmarkEnd w:id="132"/>
      <w:proofErr w:type="spellStart"/>
      <w:r w:rsidR="00872188" w:rsidRPr="00C57832">
        <w:rPr>
          <w:sz w:val="22"/>
          <w:lang w:val="fr-BE" w:eastAsia="nl-NL"/>
        </w:rPr>
        <w:t>recyparcs</w:t>
      </w:r>
      <w:bookmarkEnd w:id="133"/>
      <w:proofErr w:type="spellEnd"/>
    </w:p>
    <w:p w14:paraId="6CB2D024" w14:textId="3F284B33" w:rsidR="00967CB4" w:rsidRPr="00C57832" w:rsidRDefault="00787039">
      <w:pPr>
        <w:rPr>
          <w:lang w:val="fr-BE"/>
        </w:rPr>
      </w:pPr>
      <w:r w:rsidRPr="0012737C">
        <w:rPr>
          <w:lang w:val="fr-BE"/>
        </w:rPr>
        <w:t xml:space="preserve">La prestation de services consiste à </w:t>
      </w:r>
      <w:r w:rsidR="00512C53" w:rsidRPr="0012737C">
        <w:rPr>
          <w:lang w:val="fr-BE"/>
        </w:rPr>
        <w:t xml:space="preserve">collecter le </w:t>
      </w:r>
      <w:r w:rsidR="00967CB4" w:rsidRPr="0012737C">
        <w:rPr>
          <w:lang w:val="fr-BE"/>
        </w:rPr>
        <w:t>PM</w:t>
      </w:r>
      <w:r w:rsidR="00512C53" w:rsidRPr="0012737C">
        <w:rPr>
          <w:lang w:val="fr-BE"/>
        </w:rPr>
        <w:t xml:space="preserve">C dans le </w:t>
      </w:r>
      <w:proofErr w:type="spellStart"/>
      <w:r w:rsidR="00967CB4" w:rsidRPr="0012737C">
        <w:rPr>
          <w:lang w:val="fr-BE"/>
        </w:rPr>
        <w:t>recy</w:t>
      </w:r>
      <w:r w:rsidR="00E2418D" w:rsidRPr="0012737C">
        <w:rPr>
          <w:lang w:val="fr-BE"/>
        </w:rPr>
        <w:t>p</w:t>
      </w:r>
      <w:r w:rsidR="00967CB4" w:rsidRPr="0012737C">
        <w:rPr>
          <w:lang w:val="fr-BE"/>
        </w:rPr>
        <w:t>ar</w:t>
      </w:r>
      <w:r w:rsidR="00512C53" w:rsidRPr="0012737C">
        <w:rPr>
          <w:lang w:val="fr-BE"/>
        </w:rPr>
        <w:t>c</w:t>
      </w:r>
      <w:proofErr w:type="spellEnd"/>
      <w:r w:rsidR="00512C53" w:rsidRPr="0012737C">
        <w:rPr>
          <w:lang w:val="fr-BE"/>
        </w:rPr>
        <w:t xml:space="preserve"> des communes reprises en annexe</w:t>
      </w:r>
      <w:r w:rsidR="00967CB4" w:rsidRPr="0012737C">
        <w:rPr>
          <w:lang w:val="fr-BE"/>
        </w:rPr>
        <w:t xml:space="preserve"> C. </w:t>
      </w:r>
      <w:r w:rsidR="00E2418D" w:rsidRPr="0012737C">
        <w:rPr>
          <w:lang w:val="fr-BE"/>
        </w:rPr>
        <w:t xml:space="preserve">Les habitants déposent les déchets </w:t>
      </w:r>
      <w:r w:rsidR="00967CB4" w:rsidRPr="0012737C">
        <w:rPr>
          <w:lang w:val="fr-BE"/>
        </w:rPr>
        <w:t>P</w:t>
      </w:r>
      <w:r w:rsidR="00E2418D" w:rsidRPr="0012737C">
        <w:rPr>
          <w:lang w:val="fr-BE"/>
        </w:rPr>
        <w:t xml:space="preserve">MC dans des sacs </w:t>
      </w:r>
      <w:r w:rsidR="001B007C" w:rsidRPr="0012737C">
        <w:rPr>
          <w:lang w:val="fr-BE"/>
        </w:rPr>
        <w:t>bleu clair</w:t>
      </w:r>
      <w:r w:rsidR="00E2418D" w:rsidRPr="0012737C">
        <w:rPr>
          <w:lang w:val="fr-BE"/>
        </w:rPr>
        <w:t xml:space="preserve"> de </w:t>
      </w:r>
      <w:r w:rsidR="00967CB4" w:rsidRPr="0012737C">
        <w:rPr>
          <w:lang w:val="fr-BE"/>
        </w:rPr>
        <w:t>60 li</w:t>
      </w:r>
      <w:r w:rsidR="00E2418D" w:rsidRPr="0012737C">
        <w:rPr>
          <w:lang w:val="fr-BE"/>
        </w:rPr>
        <w:t>t</w:t>
      </w:r>
      <w:r w:rsidR="00967CB4" w:rsidRPr="0012737C">
        <w:rPr>
          <w:lang w:val="fr-BE"/>
        </w:rPr>
        <w:t>r</w:t>
      </w:r>
      <w:r w:rsidR="00E2418D" w:rsidRPr="0012737C">
        <w:rPr>
          <w:lang w:val="fr-BE"/>
        </w:rPr>
        <w:t>es</w:t>
      </w:r>
      <w:r w:rsidR="00AE0E3E" w:rsidRPr="0012737C">
        <w:rPr>
          <w:lang w:val="fr-BE"/>
        </w:rPr>
        <w:t>,</w:t>
      </w:r>
      <w:r w:rsidR="00967CB4" w:rsidRPr="0012737C">
        <w:rPr>
          <w:lang w:val="fr-BE"/>
        </w:rPr>
        <w:t xml:space="preserve"> </w:t>
      </w:r>
      <w:r w:rsidR="00AE0E3E" w:rsidRPr="0012737C">
        <w:rPr>
          <w:lang w:val="fr-BE"/>
        </w:rPr>
        <w:t>arb</w:t>
      </w:r>
      <w:r w:rsidR="00E2418D" w:rsidRPr="0012737C">
        <w:rPr>
          <w:lang w:val="fr-BE"/>
        </w:rPr>
        <w:t>orant le</w:t>
      </w:r>
      <w:r w:rsidR="00967CB4" w:rsidRPr="0012737C">
        <w:rPr>
          <w:lang w:val="fr-BE"/>
        </w:rPr>
        <w:t xml:space="preserve"> logo </w:t>
      </w:r>
      <w:r w:rsidR="00E2418D" w:rsidRPr="0012737C">
        <w:rPr>
          <w:lang w:val="fr-BE"/>
        </w:rPr>
        <w:t>du pouvoir adjudicateur</w:t>
      </w:r>
      <w:r w:rsidR="00967CB4" w:rsidRPr="0012737C">
        <w:rPr>
          <w:lang w:val="fr-BE"/>
        </w:rPr>
        <w:t xml:space="preserve"> e</w:t>
      </w:r>
      <w:r w:rsidR="00E2418D" w:rsidRPr="0012737C">
        <w:rPr>
          <w:lang w:val="fr-BE"/>
        </w:rPr>
        <w:t>t</w:t>
      </w:r>
      <w:r w:rsidR="00967CB4" w:rsidRPr="0012737C">
        <w:rPr>
          <w:lang w:val="fr-BE"/>
        </w:rPr>
        <w:t xml:space="preserve"> </w:t>
      </w:r>
      <w:r w:rsidR="00AE0E3E" w:rsidRPr="0012737C">
        <w:rPr>
          <w:lang w:val="fr-BE"/>
        </w:rPr>
        <w:t xml:space="preserve">de </w:t>
      </w:r>
      <w:proofErr w:type="spellStart"/>
      <w:r w:rsidR="00967CB4" w:rsidRPr="0012737C">
        <w:rPr>
          <w:lang w:val="fr-BE"/>
        </w:rPr>
        <w:t>Fost</w:t>
      </w:r>
      <w:proofErr w:type="spellEnd"/>
      <w:r w:rsidR="00967CB4" w:rsidRPr="0012737C">
        <w:rPr>
          <w:lang w:val="fr-BE"/>
        </w:rPr>
        <w:t xml:space="preserve"> Plus.</w:t>
      </w:r>
      <w:r w:rsidR="00967CB4" w:rsidRPr="00C57832">
        <w:rPr>
          <w:lang w:val="fr-BE"/>
        </w:rPr>
        <w:t xml:space="preserve"> </w:t>
      </w:r>
    </w:p>
    <w:p w14:paraId="397C7ECD" w14:textId="7BAB10DC" w:rsidR="00831A8C" w:rsidRPr="00C57832" w:rsidRDefault="006B4934">
      <w:pPr>
        <w:rPr>
          <w:lang w:val="fr-BE"/>
        </w:rPr>
      </w:pPr>
      <w:r w:rsidRPr="00C57832">
        <w:rPr>
          <w:lang w:val="fr-BE"/>
        </w:rPr>
        <w:t xml:space="preserve">Le prestataire de services doit prendre en charge le placement des conteneurs dans les </w:t>
      </w:r>
      <w:proofErr w:type="spellStart"/>
      <w:r w:rsidR="00872188" w:rsidRPr="00C57832">
        <w:rPr>
          <w:lang w:val="fr-BE"/>
        </w:rPr>
        <w:t>recyparcs</w:t>
      </w:r>
      <w:proofErr w:type="spellEnd"/>
      <w:r w:rsidRPr="00C57832">
        <w:rPr>
          <w:lang w:val="fr-BE"/>
        </w:rPr>
        <w:t xml:space="preserve">. Après concertation et en accord avec </w:t>
      </w:r>
      <w:proofErr w:type="spellStart"/>
      <w:r w:rsidRPr="00C57832">
        <w:rPr>
          <w:lang w:val="fr-BE"/>
        </w:rPr>
        <w:t>Fost</w:t>
      </w:r>
      <w:proofErr w:type="spellEnd"/>
      <w:r w:rsidRPr="00C57832">
        <w:rPr>
          <w:lang w:val="fr-BE"/>
        </w:rPr>
        <w:t xml:space="preserve"> Plus, le pouvoir adjudicateur décidera du type de conteneurs qui devront être placés en fonction des possibilités proposées par le </w:t>
      </w:r>
      <w:r w:rsidR="00FB73B9" w:rsidRPr="00C57832">
        <w:rPr>
          <w:lang w:val="fr-BE"/>
        </w:rPr>
        <w:t>prestataire de services</w:t>
      </w:r>
      <w:r w:rsidRPr="00C57832">
        <w:rPr>
          <w:lang w:val="fr-BE"/>
        </w:rPr>
        <w:t>.</w:t>
      </w:r>
    </w:p>
    <w:p w14:paraId="397C7ECE" w14:textId="10E615F2" w:rsidR="006B4934" w:rsidRPr="00C57832" w:rsidRDefault="006B4934">
      <w:pPr>
        <w:rPr>
          <w:lang w:val="fr-BE"/>
        </w:rPr>
      </w:pPr>
      <w:r w:rsidRPr="00C57832">
        <w:rPr>
          <w:lang w:val="fr-BE"/>
        </w:rPr>
        <w:t xml:space="preserve">A la fin du </w:t>
      </w:r>
      <w:r w:rsidR="005E5746" w:rsidRPr="00C57832">
        <w:rPr>
          <w:lang w:val="fr-BE"/>
        </w:rPr>
        <w:t>Marché</w:t>
      </w:r>
      <w:r w:rsidRPr="00C57832">
        <w:rPr>
          <w:lang w:val="fr-BE"/>
        </w:rPr>
        <w:t xml:space="preserve">, le prestataire de services devra enlever à ses frais les conteneurs placés dans les </w:t>
      </w:r>
      <w:proofErr w:type="spellStart"/>
      <w:r w:rsidR="00872188" w:rsidRPr="00C57832">
        <w:rPr>
          <w:lang w:val="fr-BE"/>
        </w:rPr>
        <w:t>recyparcs</w:t>
      </w:r>
      <w:proofErr w:type="spellEnd"/>
      <w:r w:rsidRPr="00C57832">
        <w:rPr>
          <w:lang w:val="fr-BE"/>
        </w:rPr>
        <w:t xml:space="preserve">. Cette opération devra être effectuée en concertation avec le pouvoir adjudicateur et </w:t>
      </w:r>
      <w:proofErr w:type="spellStart"/>
      <w:r w:rsidRPr="00C57832">
        <w:rPr>
          <w:lang w:val="fr-BE"/>
        </w:rPr>
        <w:t>Fost</w:t>
      </w:r>
      <w:proofErr w:type="spellEnd"/>
      <w:r w:rsidRPr="00C57832">
        <w:rPr>
          <w:lang w:val="fr-BE"/>
        </w:rPr>
        <w:t xml:space="preserve"> Plus.</w:t>
      </w:r>
    </w:p>
    <w:p w14:paraId="397C7ECF" w14:textId="50D4B95F" w:rsidR="008457E8" w:rsidRPr="00C57832" w:rsidRDefault="00831A8C">
      <w:pPr>
        <w:rPr>
          <w:lang w:val="fr-BE"/>
        </w:rPr>
      </w:pPr>
      <w:r w:rsidRPr="00C57832">
        <w:rPr>
          <w:lang w:val="fr-BE"/>
        </w:rPr>
        <w:t>Le prestataire de services ramasse tous les déchets tombés sur la voie publique, du fait de son activité de collecte, de déchargement ou de fonctionnement du camion.  Chaque camion de collecte est équipé du matériel nécessaire à cet effet (brosse</w:t>
      </w:r>
      <w:r w:rsidR="001B007C" w:rsidRPr="00C57832">
        <w:rPr>
          <w:lang w:val="fr-BE"/>
        </w:rPr>
        <w:t xml:space="preserve"> </w:t>
      </w:r>
      <w:r w:rsidRPr="00C57832">
        <w:rPr>
          <w:lang w:val="fr-BE"/>
        </w:rPr>
        <w:t>+</w:t>
      </w:r>
      <w:r w:rsidR="001B007C" w:rsidRPr="00C57832">
        <w:rPr>
          <w:lang w:val="fr-BE"/>
        </w:rPr>
        <w:t xml:space="preserve"> </w:t>
      </w:r>
      <w:r w:rsidRPr="00C57832">
        <w:rPr>
          <w:lang w:val="fr-BE"/>
        </w:rPr>
        <w:t>pelle).</w:t>
      </w:r>
    </w:p>
    <w:p w14:paraId="397C7ED0" w14:textId="5E15C599" w:rsidR="006B4934" w:rsidRPr="00C57832" w:rsidRDefault="006B4934" w:rsidP="00BB166A">
      <w:pPr>
        <w:pStyle w:val="Paragraphedeliste"/>
        <w:numPr>
          <w:ilvl w:val="1"/>
          <w:numId w:val="24"/>
        </w:numPr>
        <w:rPr>
          <w:sz w:val="22"/>
          <w:lang w:val="fr-BE" w:eastAsia="nl-NL"/>
        </w:rPr>
      </w:pPr>
      <w:bookmarkStart w:id="134" w:name="_Toc200945524"/>
      <w:bookmarkStart w:id="135" w:name="_Toc201025155"/>
      <w:bookmarkStart w:id="136" w:name="_Toc201587462"/>
      <w:bookmarkStart w:id="137" w:name="_Toc513197765"/>
      <w:r w:rsidRPr="00C57832">
        <w:rPr>
          <w:sz w:val="22"/>
          <w:lang w:val="fr-BE" w:eastAsia="nl-NL"/>
        </w:rPr>
        <w:lastRenderedPageBreak/>
        <w:t xml:space="preserve">Évacuation et </w:t>
      </w:r>
      <w:r w:rsidR="002E6479" w:rsidRPr="00C57832">
        <w:rPr>
          <w:sz w:val="22"/>
          <w:lang w:val="fr-BE" w:eastAsia="nl-NL"/>
        </w:rPr>
        <w:t xml:space="preserve">versage </w:t>
      </w:r>
      <w:r w:rsidRPr="00C57832">
        <w:rPr>
          <w:sz w:val="22"/>
          <w:lang w:val="fr-BE" w:eastAsia="nl-NL"/>
        </w:rPr>
        <w:t xml:space="preserve">des conteneurs </w:t>
      </w:r>
      <w:r w:rsidR="0043211A" w:rsidRPr="00C57832">
        <w:rPr>
          <w:sz w:val="22"/>
          <w:lang w:val="fr-BE" w:eastAsia="nl-NL"/>
        </w:rPr>
        <w:t xml:space="preserve">des </w:t>
      </w:r>
      <w:proofErr w:type="spellStart"/>
      <w:r w:rsidR="00872188" w:rsidRPr="00C57832">
        <w:rPr>
          <w:sz w:val="22"/>
          <w:lang w:val="fr-BE" w:eastAsia="nl-NL"/>
        </w:rPr>
        <w:t>recyparcs</w:t>
      </w:r>
      <w:proofErr w:type="spellEnd"/>
      <w:r w:rsidR="0043211A" w:rsidRPr="00C57832">
        <w:rPr>
          <w:sz w:val="22"/>
          <w:lang w:val="fr-BE" w:eastAsia="nl-NL"/>
        </w:rPr>
        <w:t xml:space="preserve"> </w:t>
      </w:r>
      <w:r w:rsidRPr="00C57832">
        <w:rPr>
          <w:sz w:val="22"/>
          <w:lang w:val="fr-BE" w:eastAsia="nl-NL"/>
        </w:rPr>
        <w:t>vers le centre de tri (ou la station de transfert)</w:t>
      </w:r>
      <w:bookmarkEnd w:id="134"/>
      <w:bookmarkEnd w:id="135"/>
      <w:bookmarkEnd w:id="136"/>
      <w:bookmarkEnd w:id="137"/>
    </w:p>
    <w:p w14:paraId="397C7ED1" w14:textId="16F4279A" w:rsidR="00374E8E" w:rsidRPr="00C57832" w:rsidRDefault="006B4934" w:rsidP="00831A8C">
      <w:pPr>
        <w:rPr>
          <w:lang w:val="fr-BE"/>
        </w:rPr>
      </w:pPr>
      <w:r w:rsidRPr="00C57832">
        <w:rPr>
          <w:lang w:val="fr-BE"/>
        </w:rPr>
        <w:t xml:space="preserve">Les conteneurs implantés dans les </w:t>
      </w:r>
      <w:proofErr w:type="spellStart"/>
      <w:r w:rsidR="00872188" w:rsidRPr="00C57832">
        <w:rPr>
          <w:lang w:val="fr-BE"/>
        </w:rPr>
        <w:t>recyparcs</w:t>
      </w:r>
      <w:proofErr w:type="spellEnd"/>
      <w:r w:rsidRPr="00C57832">
        <w:rPr>
          <w:lang w:val="fr-BE"/>
        </w:rPr>
        <w:t xml:space="preserve"> seront enlevés</w:t>
      </w:r>
      <w:r w:rsidR="000E2189" w:rsidRPr="00C57832">
        <w:rPr>
          <w:lang w:val="fr-BE"/>
        </w:rPr>
        <w:t>,</w:t>
      </w:r>
      <w:r w:rsidRPr="00C57832">
        <w:rPr>
          <w:lang w:val="fr-BE"/>
        </w:rPr>
        <w:t xml:space="preserve"> dans les 24</w:t>
      </w:r>
      <w:r w:rsidR="001532DE" w:rsidRPr="00C57832">
        <w:rPr>
          <w:lang w:val="fr-BE"/>
        </w:rPr>
        <w:t>h, par</w:t>
      </w:r>
      <w:r w:rsidRPr="00C57832">
        <w:rPr>
          <w:lang w:val="fr-BE"/>
        </w:rPr>
        <w:t xml:space="preserve"> le prestataire de services</w:t>
      </w:r>
      <w:r w:rsidR="000E2189" w:rsidRPr="00C57832">
        <w:rPr>
          <w:lang w:val="fr-BE"/>
        </w:rPr>
        <w:t>,</w:t>
      </w:r>
      <w:r w:rsidRPr="00C57832">
        <w:rPr>
          <w:lang w:val="fr-BE"/>
        </w:rPr>
        <w:t xml:space="preserve"> sur demande par fax ou par e-mail du pouvoir adjudicateur et/ou d'une des communes énumérées à l'annexe C. </w:t>
      </w:r>
      <w:r w:rsidR="00374E8E" w:rsidRPr="00C57832">
        <w:rPr>
          <w:lang w:val="fr-BE"/>
        </w:rPr>
        <w:t xml:space="preserve">D’autre part, si le pouvoir adjudicateur informe le prestataire de services, par fax ou par e-mail, un vendredi ou un jour de semaine </w:t>
      </w:r>
      <w:r w:rsidR="001532DE" w:rsidRPr="00C57832">
        <w:rPr>
          <w:lang w:val="fr-BE"/>
        </w:rPr>
        <w:t xml:space="preserve">précédant </w:t>
      </w:r>
      <w:r w:rsidR="00374E8E" w:rsidRPr="00C57832">
        <w:rPr>
          <w:lang w:val="fr-BE"/>
        </w:rPr>
        <w:t>un jour férié légal belge avant 12 heures, qu’un conteneur doit être vidangé,</w:t>
      </w:r>
      <w:r w:rsidR="00353558" w:rsidRPr="00C57832">
        <w:rPr>
          <w:lang w:val="fr-BE"/>
        </w:rPr>
        <w:t xml:space="preserve"> </w:t>
      </w:r>
      <w:r w:rsidR="00374E8E" w:rsidRPr="00C57832">
        <w:rPr>
          <w:lang w:val="fr-BE"/>
        </w:rPr>
        <w:t>ce conteneur devra encore être vidangé le jour même.</w:t>
      </w:r>
    </w:p>
    <w:p w14:paraId="397C7ED2" w14:textId="29B321E9" w:rsidR="009E7113" w:rsidRPr="00C57832" w:rsidRDefault="006B4934" w:rsidP="00831A8C">
      <w:pPr>
        <w:rPr>
          <w:lang w:val="fr-BE"/>
        </w:rPr>
      </w:pPr>
      <w:r w:rsidRPr="00C57832">
        <w:rPr>
          <w:lang w:val="fr-BE"/>
        </w:rPr>
        <w:t xml:space="preserve">Ces conteneurs </w:t>
      </w:r>
      <w:r w:rsidR="00831A8C" w:rsidRPr="00C57832">
        <w:rPr>
          <w:lang w:val="fr-BE"/>
        </w:rPr>
        <w:t>doivent être couverts pour éviter l’envol des déchets.</w:t>
      </w:r>
      <w:r w:rsidR="006E5899" w:rsidRPr="00C57832">
        <w:rPr>
          <w:lang w:val="fr-BE"/>
        </w:rPr>
        <w:t xml:space="preserve"> Ils </w:t>
      </w:r>
      <w:r w:rsidR="009E7113" w:rsidRPr="00C57832">
        <w:rPr>
          <w:lang w:val="fr-BE"/>
        </w:rPr>
        <w:t xml:space="preserve">seront enlevés et vidés à </w:t>
      </w:r>
      <w:r w:rsidR="00936584" w:rsidRPr="00C57832">
        <w:rPr>
          <w:szCs w:val="18"/>
          <w:lang w:val="fr-BE"/>
        </w:rPr>
        <w:fldChar w:fldCharType="begin">
          <w:ffData>
            <w:name w:val=""/>
            <w:enabled/>
            <w:calcOnExit w:val="0"/>
            <w:textInput>
              <w:default w:val="&lt;indiquer nom et adresse centre de tri ou station de transfert&gt;"/>
            </w:textInput>
          </w:ffData>
        </w:fldChar>
      </w:r>
      <w:r w:rsidR="00936584" w:rsidRPr="00C57832">
        <w:rPr>
          <w:szCs w:val="18"/>
          <w:lang w:val="fr-BE"/>
        </w:rPr>
        <w:instrText xml:space="preserve"> FORMTEXT </w:instrText>
      </w:r>
      <w:r w:rsidR="00936584" w:rsidRPr="00C57832">
        <w:rPr>
          <w:szCs w:val="18"/>
          <w:lang w:val="fr-BE"/>
        </w:rPr>
      </w:r>
      <w:r w:rsidR="00936584" w:rsidRPr="00C57832">
        <w:rPr>
          <w:szCs w:val="18"/>
          <w:lang w:val="fr-BE"/>
        </w:rPr>
        <w:fldChar w:fldCharType="separate"/>
      </w:r>
      <w:r w:rsidR="00936584" w:rsidRPr="00C57832">
        <w:rPr>
          <w:szCs w:val="18"/>
          <w:lang w:val="fr-BE"/>
        </w:rPr>
        <w:t>&lt;indiquer nom et adresse centre de tri ou station de transfert&gt;</w:t>
      </w:r>
      <w:r w:rsidR="00936584" w:rsidRPr="00C57832">
        <w:rPr>
          <w:szCs w:val="18"/>
          <w:lang w:val="fr-BE"/>
        </w:rPr>
        <w:fldChar w:fldCharType="end"/>
      </w:r>
      <w:r w:rsidRPr="00C57832">
        <w:rPr>
          <w:lang w:val="fr-BE"/>
        </w:rPr>
        <w:t>.</w:t>
      </w:r>
      <w:r w:rsidR="007D0C32" w:rsidRPr="00C57832">
        <w:rPr>
          <w:lang w:val="fr-BE"/>
        </w:rPr>
        <w:t xml:space="preserve"> Au moment de leur enlèvement, </w:t>
      </w:r>
      <w:r w:rsidRPr="00C57832">
        <w:rPr>
          <w:lang w:val="fr-BE"/>
        </w:rPr>
        <w:t>les conteneurs seront immédiatement remplacés par d'autres</w:t>
      </w:r>
      <w:r w:rsidR="007D0C32" w:rsidRPr="00C57832">
        <w:rPr>
          <w:lang w:val="fr-BE"/>
        </w:rPr>
        <w:t xml:space="preserve"> conteneurs si leur enlèvement a lieu pendant les heures d’ouverture du </w:t>
      </w:r>
      <w:proofErr w:type="spellStart"/>
      <w:r w:rsidR="00872188" w:rsidRPr="00C57832">
        <w:rPr>
          <w:lang w:val="fr-BE"/>
        </w:rPr>
        <w:t>recyparc</w:t>
      </w:r>
      <w:proofErr w:type="spellEnd"/>
      <w:r w:rsidRPr="00C57832">
        <w:rPr>
          <w:lang w:val="fr-BE"/>
        </w:rPr>
        <w:t>.</w:t>
      </w:r>
      <w:r w:rsidR="00263C81" w:rsidRPr="00C57832">
        <w:rPr>
          <w:lang w:val="fr-BE"/>
        </w:rPr>
        <w:t xml:space="preserve"> </w:t>
      </w:r>
    </w:p>
    <w:p w14:paraId="397C7ED3" w14:textId="77777777" w:rsidR="00831A8C" w:rsidRPr="00C57832" w:rsidRDefault="00831A8C" w:rsidP="00831A8C">
      <w:pPr>
        <w:rPr>
          <w:lang w:val="fr-BE"/>
        </w:rPr>
      </w:pPr>
      <w:r w:rsidRPr="00C57832">
        <w:rPr>
          <w:lang w:val="fr-BE"/>
        </w:rPr>
        <w:t xml:space="preserve">Le pouvoir adjudicateur informera le prestataire de services des heures </w:t>
      </w:r>
      <w:r w:rsidR="001A36E9" w:rsidRPr="00C57832">
        <w:rPr>
          <w:lang w:val="fr-BE"/>
        </w:rPr>
        <w:t xml:space="preserve">de livraison </w:t>
      </w:r>
      <w:r w:rsidRPr="00C57832">
        <w:rPr>
          <w:lang w:val="fr-BE"/>
        </w:rPr>
        <w:t>du centre de tri (ou station de transfert</w:t>
      </w:r>
      <w:r w:rsidR="0057369C" w:rsidRPr="00C57832">
        <w:rPr>
          <w:lang w:val="fr-BE"/>
        </w:rPr>
        <w:t xml:space="preserve"> proposée par ce dernier</w:t>
      </w:r>
      <w:r w:rsidRPr="00C57832">
        <w:rPr>
          <w:lang w:val="fr-BE"/>
        </w:rPr>
        <w:t>) et l’informera à temps des changements éventuels de destination en cours de contrat.</w:t>
      </w:r>
    </w:p>
    <w:p w14:paraId="397C7ED4" w14:textId="3D6AA820" w:rsidR="00831A8C" w:rsidRPr="00C57832" w:rsidRDefault="006B4934" w:rsidP="00831A8C">
      <w:pPr>
        <w:rPr>
          <w:i/>
          <w:lang w:val="fr-BE"/>
        </w:rPr>
      </w:pPr>
      <w:r w:rsidRPr="00C57832">
        <w:rPr>
          <w:i/>
          <w:lang w:val="fr-BE"/>
        </w:rPr>
        <w:t xml:space="preserve">(Les conteneurs qui n'appartiennent pas au prestataire de services font également partie du présent </w:t>
      </w:r>
      <w:r w:rsidR="005E5746" w:rsidRPr="00C57832">
        <w:rPr>
          <w:i/>
          <w:lang w:val="fr-BE"/>
        </w:rPr>
        <w:t>Marché</w:t>
      </w:r>
      <w:r w:rsidRPr="00C57832">
        <w:rPr>
          <w:i/>
          <w:lang w:val="fr-BE"/>
        </w:rPr>
        <w:t xml:space="preserve"> et doivent par conséquent également être vidés. Dans ce cas, le conteneur ne doit pas être immédiatement remplacé par un autre au moment de son enlèvement. </w:t>
      </w:r>
      <w:r w:rsidR="00353558" w:rsidRPr="00C57832">
        <w:rPr>
          <w:i/>
          <w:lang w:val="fr-BE"/>
        </w:rPr>
        <w:t xml:space="preserve">Le soumissionnaire tiendra compte de cela lors de l’établissement de son offre. </w:t>
      </w:r>
      <w:r w:rsidRPr="00C57832">
        <w:rPr>
          <w:i/>
          <w:lang w:val="fr-BE"/>
        </w:rPr>
        <w:t xml:space="preserve">Une description de ces conteneurs, y compris de leur mécanisme de </w:t>
      </w:r>
      <w:r w:rsidR="002E6479" w:rsidRPr="00C57832">
        <w:rPr>
          <w:i/>
          <w:lang w:val="fr-BE"/>
        </w:rPr>
        <w:t>versage</w:t>
      </w:r>
      <w:r w:rsidRPr="00C57832">
        <w:rPr>
          <w:i/>
          <w:lang w:val="fr-BE"/>
        </w:rPr>
        <w:t>, est reprise en annexe F</w:t>
      </w:r>
      <w:r w:rsidR="00CE12A7" w:rsidRPr="00C57832">
        <w:rPr>
          <w:i/>
          <w:lang w:val="fr-BE"/>
        </w:rPr>
        <w:t>.</w:t>
      </w:r>
      <w:r w:rsidR="00404A7E" w:rsidRPr="00C57832">
        <w:rPr>
          <w:i/>
          <w:lang w:val="fr-BE"/>
        </w:rPr>
        <w:t>)</w:t>
      </w:r>
      <w:r w:rsidR="00831A8C" w:rsidRPr="00C57832">
        <w:rPr>
          <w:i/>
          <w:lang w:val="fr-BE"/>
        </w:rPr>
        <w:t xml:space="preserve"> </w:t>
      </w:r>
    </w:p>
    <w:p w14:paraId="397C7ED5" w14:textId="77617D00" w:rsidR="006B4934" w:rsidRPr="00E03B09" w:rsidRDefault="006B4934" w:rsidP="00BB166A">
      <w:pPr>
        <w:pStyle w:val="Paragraphedeliste"/>
        <w:numPr>
          <w:ilvl w:val="0"/>
          <w:numId w:val="24"/>
        </w:numPr>
        <w:rPr>
          <w:b/>
          <w:lang w:val="fr-BE" w:eastAsia="nl-NL"/>
        </w:rPr>
      </w:pPr>
      <w:bookmarkStart w:id="138" w:name="_Toc200945525"/>
      <w:bookmarkStart w:id="139" w:name="_Toc201025156"/>
      <w:bookmarkStart w:id="140" w:name="_Toc201587463"/>
      <w:bookmarkStart w:id="141" w:name="_Toc513197766"/>
      <w:r w:rsidRPr="00E03B09">
        <w:rPr>
          <w:b/>
          <w:sz w:val="24"/>
          <w:lang w:val="fr-BE" w:eastAsia="nl-NL"/>
        </w:rPr>
        <w:t>Quantités estimées</w:t>
      </w:r>
      <w:bookmarkEnd w:id="138"/>
      <w:bookmarkEnd w:id="139"/>
      <w:bookmarkEnd w:id="140"/>
      <w:bookmarkEnd w:id="141"/>
    </w:p>
    <w:p w14:paraId="397C7ED6" w14:textId="1643398F" w:rsidR="006B4934" w:rsidRPr="00C57832" w:rsidRDefault="006B4934" w:rsidP="00BB166A">
      <w:pPr>
        <w:pStyle w:val="Paragraphedeliste"/>
        <w:numPr>
          <w:ilvl w:val="1"/>
          <w:numId w:val="24"/>
        </w:numPr>
        <w:rPr>
          <w:sz w:val="22"/>
          <w:lang w:val="fr-BE" w:eastAsia="nl-NL"/>
        </w:rPr>
      </w:pPr>
      <w:bookmarkStart w:id="142" w:name="_Toc200945526"/>
      <w:bookmarkStart w:id="143" w:name="_Toc201025157"/>
      <w:bookmarkStart w:id="144" w:name="_Toc201587464"/>
      <w:bookmarkStart w:id="145" w:name="_Toc513197767"/>
      <w:r w:rsidRPr="00C57832">
        <w:rPr>
          <w:sz w:val="22"/>
          <w:lang w:val="fr-BE" w:eastAsia="nl-NL"/>
        </w:rPr>
        <w:t>Collecte du PMC en porte-à-porte (lot 1)</w:t>
      </w:r>
      <w:bookmarkEnd w:id="142"/>
      <w:bookmarkEnd w:id="143"/>
      <w:bookmarkEnd w:id="144"/>
      <w:bookmarkEnd w:id="145"/>
    </w:p>
    <w:p w14:paraId="397C7ED7" w14:textId="77777777" w:rsidR="006B4934" w:rsidRPr="00C57832" w:rsidRDefault="006B4934">
      <w:pPr>
        <w:rPr>
          <w:lang w:val="fr-BE"/>
        </w:rPr>
      </w:pPr>
      <w:r w:rsidRPr="00C57832">
        <w:rPr>
          <w:lang w:val="fr-BE"/>
        </w:rPr>
        <w:t xml:space="preserve">Le nombre actuel d’habitants à desservir est repris en annexe C. Il faut tenir compte de l’éventuelle augmentation ou diminution de la population dans la zone. La révision du nombre d’habitants </w:t>
      </w:r>
      <w:proofErr w:type="gramStart"/>
      <w:r w:rsidR="0043211A" w:rsidRPr="00C57832">
        <w:rPr>
          <w:lang w:val="fr-BE"/>
        </w:rPr>
        <w:t>a</w:t>
      </w:r>
      <w:proofErr w:type="gramEnd"/>
      <w:r w:rsidR="0043211A" w:rsidRPr="00C57832">
        <w:rPr>
          <w:lang w:val="fr-BE"/>
        </w:rPr>
        <w:t xml:space="preserve"> lieu</w:t>
      </w:r>
      <w:r w:rsidRPr="00C57832">
        <w:rPr>
          <w:lang w:val="fr-BE"/>
        </w:rPr>
        <w:t xml:space="preserve"> au </w:t>
      </w:r>
      <w:r w:rsidR="00CE5D5E" w:rsidRPr="00C57832">
        <w:rPr>
          <w:lang w:val="fr-BE"/>
        </w:rPr>
        <w:t>1</w:t>
      </w:r>
      <w:r w:rsidR="002824E2" w:rsidRPr="00C57832">
        <w:rPr>
          <w:vertAlign w:val="superscript"/>
          <w:lang w:val="fr-BE"/>
        </w:rPr>
        <w:t>er</w:t>
      </w:r>
      <w:r w:rsidR="00CE5D5E" w:rsidRPr="00C57832">
        <w:rPr>
          <w:lang w:val="fr-BE"/>
        </w:rPr>
        <w:t xml:space="preserve"> janvier de chaque année au même moment que la révision </w:t>
      </w:r>
      <w:r w:rsidRPr="00C57832">
        <w:rPr>
          <w:lang w:val="fr-BE"/>
        </w:rPr>
        <w:t>des prix</w:t>
      </w:r>
      <w:r w:rsidR="00CE5D5E" w:rsidRPr="00C57832">
        <w:rPr>
          <w:lang w:val="fr-BE"/>
        </w:rPr>
        <w:t xml:space="preserve"> de janvier prévue au présent cahier des charges</w:t>
      </w:r>
      <w:r w:rsidRPr="00C57832">
        <w:rPr>
          <w:lang w:val="fr-BE"/>
        </w:rPr>
        <w:t xml:space="preserve">. Le nombre d’habitants est celui le plus récemment communiqué dans les statistiques de </w:t>
      </w:r>
      <w:r w:rsidR="00353558" w:rsidRPr="00C57832">
        <w:rPr>
          <w:lang w:val="fr-BE"/>
        </w:rPr>
        <w:t xml:space="preserve">la Direction générale Statistique et Information économique du SPF Economie, P.M.E., Classes moyennes et Energie. Si ces statistiques ne sont pas publiées, une autre source officielle </w:t>
      </w:r>
      <w:r w:rsidR="00526085" w:rsidRPr="00C57832">
        <w:rPr>
          <w:lang w:val="fr-BE"/>
        </w:rPr>
        <w:t>sera</w:t>
      </w:r>
      <w:r w:rsidR="00353558" w:rsidRPr="00C57832">
        <w:rPr>
          <w:lang w:val="fr-BE"/>
        </w:rPr>
        <w:t xml:space="preserve"> consultée</w:t>
      </w:r>
      <w:r w:rsidR="00526085" w:rsidRPr="00C57832">
        <w:rPr>
          <w:lang w:val="fr-BE"/>
        </w:rPr>
        <w:t>. L</w:t>
      </w:r>
      <w:r w:rsidR="00353558" w:rsidRPr="00C57832">
        <w:rPr>
          <w:lang w:val="fr-BE"/>
        </w:rPr>
        <w:t xml:space="preserve">es chiffres publiés via cette dernière source seront </w:t>
      </w:r>
      <w:r w:rsidR="00526085" w:rsidRPr="00C57832">
        <w:rPr>
          <w:lang w:val="fr-BE"/>
        </w:rPr>
        <w:t>alors d’application</w:t>
      </w:r>
      <w:r w:rsidR="00353558" w:rsidRPr="00C57832">
        <w:rPr>
          <w:lang w:val="fr-BE"/>
        </w:rPr>
        <w:t>.</w:t>
      </w:r>
    </w:p>
    <w:p w14:paraId="397C7ED8" w14:textId="77777777" w:rsidR="006B4934" w:rsidRPr="00C57832" w:rsidRDefault="006B4934">
      <w:pPr>
        <w:rPr>
          <w:lang w:val="fr-BE"/>
        </w:rPr>
      </w:pPr>
      <w:r w:rsidRPr="00C57832">
        <w:rPr>
          <w:lang w:val="fr-BE"/>
        </w:rPr>
        <w:t xml:space="preserve">Les quantités présumées de PMC par commune (sur base des quantités collectées de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l'année&gt;</w:t>
      </w:r>
      <w:r w:rsidR="00306B75" w:rsidRPr="00C57832">
        <w:rPr>
          <w:szCs w:val="18"/>
          <w:lang w:val="fr-BE"/>
        </w:rPr>
        <w:fldChar w:fldCharType="end"/>
      </w:r>
      <w:r w:rsidRPr="00C57832">
        <w:rPr>
          <w:lang w:val="fr-BE"/>
        </w:rPr>
        <w:t>) sont mentionnées en annexe C.</w:t>
      </w:r>
    </w:p>
    <w:p w14:paraId="397C7ED9" w14:textId="0E02E54C" w:rsidR="006B4934" w:rsidRPr="00C57832" w:rsidRDefault="006B4934">
      <w:pPr>
        <w:rPr>
          <w:lang w:val="fr-BE"/>
        </w:rPr>
      </w:pPr>
      <w:r w:rsidRPr="00C57832">
        <w:rPr>
          <w:lang w:val="fr-BE"/>
        </w:rPr>
        <w:t xml:space="preserve">Ces quantités sont communiquées à titre indicatif et ne peuvent constituer un engagement de la part du pouvoir adjudicateur quant à l'ampleur du </w:t>
      </w:r>
      <w:r w:rsidR="005E5746" w:rsidRPr="00C57832">
        <w:rPr>
          <w:lang w:val="fr-BE"/>
        </w:rPr>
        <w:t>Marché</w:t>
      </w:r>
      <w:r w:rsidRPr="00C57832">
        <w:rPr>
          <w:lang w:val="fr-BE"/>
        </w:rPr>
        <w:t>. Néanmoins, la comparaison des offres pour le critère d’attribution ‘prix de la prestation de services’ se basera sur ces quantités.</w:t>
      </w:r>
    </w:p>
    <w:p w14:paraId="397C7EDA" w14:textId="4E9341FC" w:rsidR="006B4934" w:rsidRPr="00C57832" w:rsidRDefault="006B4934" w:rsidP="00BB166A">
      <w:pPr>
        <w:pStyle w:val="Paragraphedeliste"/>
        <w:numPr>
          <w:ilvl w:val="1"/>
          <w:numId w:val="24"/>
        </w:numPr>
        <w:rPr>
          <w:sz w:val="22"/>
          <w:lang w:val="fr-BE" w:eastAsia="nl-NL"/>
        </w:rPr>
      </w:pPr>
      <w:bookmarkStart w:id="146" w:name="_Toc200945527"/>
      <w:bookmarkStart w:id="147" w:name="_Toc201025158"/>
      <w:bookmarkStart w:id="148" w:name="_Toc201587465"/>
      <w:bookmarkStart w:id="149" w:name="_Toc513197768"/>
      <w:r w:rsidRPr="00C57832">
        <w:rPr>
          <w:sz w:val="22"/>
          <w:lang w:val="fr-BE" w:eastAsia="nl-NL"/>
        </w:rPr>
        <w:t xml:space="preserve">Collecte du PMC </w:t>
      </w:r>
      <w:r w:rsidR="0033233C" w:rsidRPr="00C57832">
        <w:rPr>
          <w:sz w:val="22"/>
          <w:lang w:val="fr-BE" w:eastAsia="nl-NL"/>
        </w:rPr>
        <w:t xml:space="preserve">sur les </w:t>
      </w:r>
      <w:proofErr w:type="spellStart"/>
      <w:r w:rsidR="00872188" w:rsidRPr="00C57832">
        <w:rPr>
          <w:sz w:val="22"/>
          <w:lang w:val="fr-BE" w:eastAsia="nl-NL"/>
        </w:rPr>
        <w:t>recyparcs</w:t>
      </w:r>
      <w:proofErr w:type="spellEnd"/>
      <w:r w:rsidRPr="00C57832">
        <w:rPr>
          <w:sz w:val="22"/>
          <w:lang w:val="fr-BE" w:eastAsia="nl-NL"/>
        </w:rPr>
        <w:t xml:space="preserve"> (lot 2)</w:t>
      </w:r>
      <w:bookmarkEnd w:id="146"/>
      <w:bookmarkEnd w:id="147"/>
      <w:bookmarkEnd w:id="148"/>
      <w:bookmarkEnd w:id="149"/>
    </w:p>
    <w:p w14:paraId="397C7EDB" w14:textId="77777777" w:rsidR="006B4934" w:rsidRPr="00C57832" w:rsidRDefault="006B4934">
      <w:pPr>
        <w:rPr>
          <w:lang w:val="fr-BE"/>
        </w:rPr>
      </w:pPr>
      <w:r w:rsidRPr="00C57832">
        <w:rPr>
          <w:lang w:val="fr-BE"/>
        </w:rPr>
        <w:t xml:space="preserve">Le nombre actuel et le type de conteneurs ainsi que leur emplacement sont repris en annexe C. Le nombre de conteneurs peut évoluer durant la durée du contrat. L’éventuel enlèvement ou placement de conteneurs doit préalablement être approuvé par le pouvoir adjudicateur et </w:t>
      </w:r>
      <w:proofErr w:type="spellStart"/>
      <w:r w:rsidRPr="00C57832">
        <w:rPr>
          <w:lang w:val="fr-BE"/>
        </w:rPr>
        <w:t>Fost</w:t>
      </w:r>
      <w:proofErr w:type="spellEnd"/>
      <w:r w:rsidRPr="00C57832">
        <w:rPr>
          <w:lang w:val="fr-BE"/>
        </w:rPr>
        <w:t xml:space="preserve"> Plus, en concertation avec le prestataire de services.</w:t>
      </w:r>
    </w:p>
    <w:p w14:paraId="397C7EDC" w14:textId="2DD4ED9F" w:rsidR="006B4934" w:rsidRPr="00C57832" w:rsidRDefault="006B4934">
      <w:pPr>
        <w:rPr>
          <w:lang w:val="fr-BE"/>
        </w:rPr>
      </w:pPr>
      <w:r w:rsidRPr="00C57832">
        <w:rPr>
          <w:lang w:val="fr-BE"/>
        </w:rPr>
        <w:t xml:space="preserve">Les quantités présumées de PMC par </w:t>
      </w:r>
      <w:proofErr w:type="spellStart"/>
      <w:r w:rsidR="00872188" w:rsidRPr="00C57832">
        <w:rPr>
          <w:lang w:val="fr-BE"/>
        </w:rPr>
        <w:t>recyparc</w:t>
      </w:r>
      <w:proofErr w:type="spellEnd"/>
      <w:r w:rsidRPr="00C57832">
        <w:rPr>
          <w:lang w:val="fr-BE"/>
        </w:rPr>
        <w:t xml:space="preserve"> (sur base des quantités collectées de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l'année&gt;</w:t>
      </w:r>
      <w:r w:rsidR="00306B75" w:rsidRPr="00C57832">
        <w:rPr>
          <w:szCs w:val="18"/>
          <w:lang w:val="fr-BE"/>
        </w:rPr>
        <w:fldChar w:fldCharType="end"/>
      </w:r>
      <w:r w:rsidRPr="00C57832">
        <w:rPr>
          <w:lang w:val="fr-BE"/>
        </w:rPr>
        <w:t xml:space="preserve">) sont mentionnées en annexe C, avec les poids moyens par </w:t>
      </w:r>
      <w:r w:rsidR="002E6479" w:rsidRPr="00C57832">
        <w:rPr>
          <w:lang w:val="fr-BE"/>
        </w:rPr>
        <w:t xml:space="preserve">versage </w:t>
      </w:r>
      <w:r w:rsidRPr="00C57832">
        <w:rPr>
          <w:lang w:val="fr-BE"/>
        </w:rPr>
        <w:t xml:space="preserve">des conteneurs utilisés. Les adresses des </w:t>
      </w:r>
      <w:proofErr w:type="spellStart"/>
      <w:r w:rsidR="00872188" w:rsidRPr="00C57832">
        <w:rPr>
          <w:lang w:val="fr-BE"/>
        </w:rPr>
        <w:t>recyparcs</w:t>
      </w:r>
      <w:proofErr w:type="spellEnd"/>
      <w:r w:rsidRPr="00C57832">
        <w:rPr>
          <w:lang w:val="fr-BE"/>
        </w:rPr>
        <w:t xml:space="preserve"> qui font partie du contrat sont </w:t>
      </w:r>
      <w:r w:rsidR="001532DE" w:rsidRPr="00C57832">
        <w:rPr>
          <w:lang w:val="fr-BE"/>
        </w:rPr>
        <w:t>également</w:t>
      </w:r>
      <w:r w:rsidRPr="00C57832">
        <w:rPr>
          <w:lang w:val="fr-BE"/>
        </w:rPr>
        <w:t xml:space="preserve"> reprises à l’annexe C.</w:t>
      </w:r>
    </w:p>
    <w:p w14:paraId="397C7EDD" w14:textId="20234221" w:rsidR="006B4934" w:rsidRPr="00C57832" w:rsidRDefault="006B4934">
      <w:pPr>
        <w:rPr>
          <w:lang w:val="fr-BE"/>
        </w:rPr>
      </w:pPr>
      <w:r w:rsidRPr="00C57832">
        <w:rPr>
          <w:lang w:val="fr-BE"/>
        </w:rPr>
        <w:t xml:space="preserve">Ces quantités et ces données sont communiquées à titre indicatif et ne peuvent constituer un engagement de la part du pouvoir adjudicateur quant à l'ampleur du </w:t>
      </w:r>
      <w:r w:rsidR="005E5746" w:rsidRPr="00C57832">
        <w:rPr>
          <w:lang w:val="fr-BE"/>
        </w:rPr>
        <w:t>Marché</w:t>
      </w:r>
      <w:r w:rsidRPr="00C57832">
        <w:rPr>
          <w:lang w:val="fr-BE"/>
        </w:rPr>
        <w:t>. Néanmoins, la comparaison des offres pour le critère d’attribution ‘prix de la prestation de services’ se basera sur ces quantités et données.</w:t>
      </w:r>
    </w:p>
    <w:p w14:paraId="397C7EDE" w14:textId="2B45D427" w:rsidR="006B4934" w:rsidRPr="00E03B09" w:rsidRDefault="006B4934" w:rsidP="00BB166A">
      <w:pPr>
        <w:pStyle w:val="Paragraphedeliste"/>
        <w:numPr>
          <w:ilvl w:val="0"/>
          <w:numId w:val="24"/>
        </w:numPr>
        <w:rPr>
          <w:b/>
          <w:sz w:val="24"/>
          <w:lang w:val="fr-BE" w:eastAsia="nl-NL"/>
        </w:rPr>
      </w:pPr>
      <w:bookmarkStart w:id="150" w:name="_Toc200945528"/>
      <w:bookmarkStart w:id="151" w:name="_Toc201025159"/>
      <w:bookmarkStart w:id="152" w:name="_Toc201587466"/>
      <w:bookmarkStart w:id="153" w:name="_Toc513197769"/>
      <w:r w:rsidRPr="00E03B09">
        <w:rPr>
          <w:b/>
          <w:sz w:val="24"/>
          <w:lang w:val="fr-BE" w:eastAsia="nl-NL"/>
        </w:rPr>
        <w:lastRenderedPageBreak/>
        <w:t>Détermination des prix</w:t>
      </w:r>
      <w:bookmarkEnd w:id="150"/>
      <w:bookmarkEnd w:id="151"/>
      <w:bookmarkEnd w:id="152"/>
      <w:bookmarkEnd w:id="153"/>
    </w:p>
    <w:p w14:paraId="397C7EDF" w14:textId="77777777" w:rsidR="006B4934" w:rsidRPr="00C57832" w:rsidRDefault="006B4934">
      <w:pPr>
        <w:rPr>
          <w:lang w:val="fr-BE"/>
        </w:rPr>
      </w:pPr>
      <w:r w:rsidRPr="00C57832">
        <w:rPr>
          <w:lang w:val="fr-BE"/>
        </w:rPr>
        <w:t>Le soumissionnaire utilise l'inventaire joint à l'annexe B.</w:t>
      </w:r>
    </w:p>
    <w:p w14:paraId="397C7EE0" w14:textId="793656F2" w:rsidR="006B4934" w:rsidRPr="00E03B09" w:rsidRDefault="006B4934" w:rsidP="00BB166A">
      <w:pPr>
        <w:pStyle w:val="Paragraphedeliste"/>
        <w:numPr>
          <w:ilvl w:val="1"/>
          <w:numId w:val="24"/>
        </w:numPr>
        <w:rPr>
          <w:sz w:val="24"/>
          <w:lang w:val="fr-BE" w:eastAsia="nl-NL"/>
        </w:rPr>
      </w:pPr>
      <w:bookmarkStart w:id="154" w:name="_Toc200945529"/>
      <w:bookmarkStart w:id="155" w:name="_Toc201025160"/>
      <w:bookmarkStart w:id="156" w:name="_Toc201587467"/>
      <w:bookmarkStart w:id="157" w:name="_Toc513197770"/>
      <w:r w:rsidRPr="00E03B09">
        <w:rPr>
          <w:sz w:val="24"/>
          <w:lang w:val="fr-BE" w:eastAsia="nl-NL"/>
        </w:rPr>
        <w:t xml:space="preserve">Collecte en porte-à-porte, transport et </w:t>
      </w:r>
      <w:r w:rsidR="002E6479" w:rsidRPr="00E03B09">
        <w:rPr>
          <w:sz w:val="24"/>
          <w:lang w:val="fr-BE" w:eastAsia="nl-NL"/>
        </w:rPr>
        <w:t xml:space="preserve">versage </w:t>
      </w:r>
      <w:r w:rsidRPr="00E03B09">
        <w:rPr>
          <w:sz w:val="24"/>
          <w:lang w:val="fr-BE" w:eastAsia="nl-NL"/>
        </w:rPr>
        <w:t>du PMC (lot 1)</w:t>
      </w:r>
      <w:bookmarkEnd w:id="154"/>
      <w:bookmarkEnd w:id="155"/>
      <w:bookmarkEnd w:id="156"/>
      <w:bookmarkEnd w:id="157"/>
    </w:p>
    <w:p w14:paraId="397C7EE1" w14:textId="5CACC8D9" w:rsidR="006B4934" w:rsidRPr="00C57832" w:rsidRDefault="006B4934">
      <w:pPr>
        <w:rPr>
          <w:lang w:val="fr-BE"/>
        </w:rPr>
      </w:pPr>
      <w:r w:rsidRPr="00C57832">
        <w:rPr>
          <w:lang w:val="fr-BE"/>
        </w:rPr>
        <w:t xml:space="preserve">Le prix est décomposé en </w:t>
      </w:r>
      <w:r w:rsidR="00BC4B0C" w:rsidRPr="00C57832">
        <w:rPr>
          <w:lang w:val="fr-BE"/>
        </w:rPr>
        <w:t xml:space="preserve">trois </w:t>
      </w:r>
      <w:r w:rsidRPr="00C57832">
        <w:rPr>
          <w:lang w:val="fr-BE"/>
        </w:rPr>
        <w:t>parties :</w:t>
      </w:r>
    </w:p>
    <w:p w14:paraId="145AF192" w14:textId="2464BE13" w:rsidR="00BC4B0C" w:rsidRPr="00C57832" w:rsidRDefault="00BC4B0C" w:rsidP="00BB166A">
      <w:pPr>
        <w:pStyle w:val="Listepuces"/>
        <w:numPr>
          <w:ilvl w:val="0"/>
          <w:numId w:val="17"/>
        </w:numPr>
        <w:rPr>
          <w:lang w:val="fr-BE" w:eastAsia="nl-NL"/>
        </w:rPr>
      </w:pPr>
      <w:r w:rsidRPr="00C57832">
        <w:rPr>
          <w:szCs w:val="18"/>
          <w:lang w:val="fr-BE" w:eastAsia="nl-NL"/>
        </w:rPr>
        <w:t>Une partie fixe (exprimée en EUR/habitant), basée sur le nombre d'habitants, pour la collecte du PMC dans la zone de collecte et la vidange au point de livraison.</w:t>
      </w:r>
    </w:p>
    <w:p w14:paraId="73B28FEF" w14:textId="438053B1" w:rsidR="00BC4B0C" w:rsidRPr="00C57832" w:rsidRDefault="00BC4B0C" w:rsidP="00BB166A">
      <w:pPr>
        <w:pStyle w:val="Listepuces"/>
        <w:numPr>
          <w:ilvl w:val="0"/>
          <w:numId w:val="17"/>
        </w:numPr>
        <w:rPr>
          <w:lang w:val="fr-BE" w:eastAsia="nl-NL"/>
        </w:rPr>
      </w:pPr>
      <w:r w:rsidRPr="00C57832">
        <w:rPr>
          <w:szCs w:val="18"/>
          <w:lang w:val="fr-BE" w:eastAsia="nl-NL"/>
        </w:rPr>
        <w:t>Une partie variable (exprimée en EUR/tonne), basée sur les tonnages collectés, pour la collecte du PMC dans la zone d’intervention et la vidange au point de livraison.</w:t>
      </w:r>
    </w:p>
    <w:p w14:paraId="574B8B8F" w14:textId="0D3ABD74" w:rsidR="00BC4B0C" w:rsidRPr="00C57832" w:rsidRDefault="00BC4B0C" w:rsidP="00BB166A">
      <w:pPr>
        <w:pStyle w:val="Listepuces"/>
        <w:numPr>
          <w:ilvl w:val="0"/>
          <w:numId w:val="17"/>
        </w:numPr>
        <w:rPr>
          <w:lang w:val="fr-BE" w:eastAsia="nl-NL"/>
        </w:rPr>
      </w:pPr>
      <w:r w:rsidRPr="00C57832">
        <w:rPr>
          <w:lang w:val="fr-BE" w:eastAsia="nl-NL"/>
        </w:rPr>
        <w:t xml:space="preserve">Une partie variable (exprimée en EUR/tonne.km), basée sur le tonnage collecté et le nombre de kilomètres, pour le transport du PMC collecté de </w:t>
      </w:r>
      <w:r w:rsidRPr="00C57832">
        <w:rPr>
          <w:lang w:val="fr-BE" w:eastAsia="nl-NL"/>
        </w:rPr>
        <w:fldChar w:fldCharType="begin">
          <w:ffData>
            <w:name w:val=""/>
            <w:enabled/>
            <w:calcOnExit w:val="0"/>
            <w:textInput>
              <w:default w:val="&lt;remplir point de référence&gt;"/>
            </w:textInput>
          </w:ffData>
        </w:fldChar>
      </w:r>
      <w:r w:rsidRPr="00C57832">
        <w:rPr>
          <w:lang w:val="fr-BE" w:eastAsia="nl-NL"/>
        </w:rPr>
        <w:instrText xml:space="preserve"> FORMTEXT </w:instrText>
      </w:r>
      <w:r w:rsidRPr="00C57832">
        <w:rPr>
          <w:lang w:val="fr-BE" w:eastAsia="nl-NL"/>
        </w:rPr>
      </w:r>
      <w:r w:rsidRPr="00C57832">
        <w:rPr>
          <w:lang w:val="fr-BE" w:eastAsia="nl-NL"/>
        </w:rPr>
        <w:fldChar w:fldCharType="separate"/>
      </w:r>
      <w:r w:rsidRPr="00C57832">
        <w:rPr>
          <w:lang w:val="fr-BE" w:eastAsia="nl-NL"/>
        </w:rPr>
        <w:t>&lt;remplir point de référence&gt;</w:t>
      </w:r>
      <w:r w:rsidRPr="00C57832">
        <w:rPr>
          <w:lang w:val="fr-BE" w:eastAsia="nl-NL"/>
        </w:rPr>
        <w:fldChar w:fldCharType="end"/>
      </w:r>
      <w:r w:rsidRPr="00C57832">
        <w:rPr>
          <w:lang w:val="fr-BE" w:eastAsia="nl-NL"/>
        </w:rPr>
        <w:t xml:space="preserve"> jusqu’au point de livraison </w:t>
      </w:r>
      <w:r w:rsidR="004A59C5" w:rsidRPr="00C57832">
        <w:rPr>
          <w:lang w:val="fr-BE" w:eastAsia="nl-NL"/>
        </w:rPr>
        <w:t>du</w:t>
      </w:r>
      <w:r w:rsidRPr="00C57832">
        <w:rPr>
          <w:lang w:val="fr-BE" w:eastAsia="nl-NL"/>
        </w:rPr>
        <w:t xml:space="preserve"> </w:t>
      </w:r>
      <w:r w:rsidRPr="0012737C">
        <w:rPr>
          <w:lang w:val="fr-BE" w:eastAsia="nl-NL"/>
        </w:rPr>
        <w:t>centre de tri ou la station de transfert. Il sera tenu compte de la distance la plus courte par la route</w:t>
      </w:r>
      <w:r w:rsidR="003A3D58" w:rsidRPr="0012737C">
        <w:rPr>
          <w:lang w:val="fr-BE" w:eastAsia="nl-NL"/>
        </w:rPr>
        <w:t>,</w:t>
      </w:r>
      <w:r w:rsidRPr="0012737C">
        <w:rPr>
          <w:lang w:val="fr-BE" w:eastAsia="nl-NL"/>
        </w:rPr>
        <w:t xml:space="preserve"> calculée sur base du</w:t>
      </w:r>
      <w:r w:rsidRPr="00C57832">
        <w:rPr>
          <w:lang w:val="fr-BE" w:eastAsia="nl-NL"/>
        </w:rPr>
        <w:t xml:space="preserve"> logiciel </w:t>
      </w:r>
      <w:proofErr w:type="spellStart"/>
      <w:r w:rsidRPr="00C57832">
        <w:rPr>
          <w:lang w:val="fr-BE" w:eastAsia="nl-NL"/>
        </w:rPr>
        <w:t>Routenet</w:t>
      </w:r>
      <w:proofErr w:type="spellEnd"/>
      <w:r w:rsidRPr="00C57832">
        <w:rPr>
          <w:lang w:val="fr-BE" w:eastAsia="nl-NL"/>
        </w:rPr>
        <w:t xml:space="preserve"> (camions 20 T).</w:t>
      </w:r>
    </w:p>
    <w:p w14:paraId="09A45091" w14:textId="77777777" w:rsidR="00BC4B0C" w:rsidRPr="00C57832" w:rsidRDefault="00BC4B0C" w:rsidP="00BC4B0C">
      <w:pPr>
        <w:rPr>
          <w:rFonts w:eastAsia="Times New Roman"/>
          <w:lang w:val="fr-BE" w:eastAsia="nl-NL"/>
        </w:rPr>
      </w:pPr>
    </w:p>
    <w:p w14:paraId="0835DD6C" w14:textId="1FFC256F" w:rsidR="00BC4B0C" w:rsidRPr="00C57832" w:rsidRDefault="00BC4B0C" w:rsidP="00BC4B0C">
      <w:pPr>
        <w:rPr>
          <w:rFonts w:eastAsia="Times New Roman"/>
          <w:lang w:val="fr-BE" w:eastAsia="nl-NL"/>
        </w:rPr>
      </w:pPr>
      <w:r w:rsidRPr="00C57832">
        <w:rPr>
          <w:rFonts w:eastAsia="Times New Roman"/>
          <w:lang w:val="fr-BE" w:eastAsia="nl-NL"/>
        </w:rPr>
        <w:t xml:space="preserve">Le soumissionnaire tient compte du fait que le centre de tri pour le PMC n’est pas encore connu et/ou peut changer au cours du Marché. Le lieu de livraison </w:t>
      </w:r>
      <w:r w:rsidR="004A59C5" w:rsidRPr="00C57832">
        <w:rPr>
          <w:rFonts w:eastAsia="Times New Roman"/>
          <w:lang w:val="fr-BE" w:eastAsia="nl-NL"/>
        </w:rPr>
        <w:t>du centre de tri</w:t>
      </w:r>
      <w:r w:rsidRPr="00C57832">
        <w:rPr>
          <w:rFonts w:eastAsia="Times New Roman"/>
          <w:lang w:val="fr-BE" w:eastAsia="nl-NL"/>
        </w:rPr>
        <w:t xml:space="preserve"> se situe à une distance maximale la plus courte par la route de 75 km par rapport à </w:t>
      </w:r>
      <w:r w:rsidRPr="00C57832">
        <w:rPr>
          <w:rFonts w:eastAsia="Times New Roman"/>
          <w:lang w:val="fr-BE" w:eastAsia="nl-NL"/>
        </w:rPr>
        <w:fldChar w:fldCharType="begin">
          <w:ffData>
            <w:name w:val=""/>
            <w:enabled/>
            <w:calcOnExit w:val="0"/>
            <w:textInput>
              <w:default w:val="&lt;remplir point de référence&gt;"/>
            </w:textInput>
          </w:ffData>
        </w:fldChar>
      </w:r>
      <w:r w:rsidRPr="00C57832">
        <w:rPr>
          <w:rFonts w:eastAsia="Times New Roman"/>
          <w:lang w:val="fr-BE" w:eastAsia="nl-NL"/>
        </w:rPr>
        <w:instrText xml:space="preserve"> FORMTEXT </w:instrText>
      </w:r>
      <w:r w:rsidRPr="00C57832">
        <w:rPr>
          <w:rFonts w:eastAsia="Times New Roman"/>
          <w:lang w:val="fr-BE" w:eastAsia="nl-NL"/>
        </w:rPr>
      </w:r>
      <w:r w:rsidRPr="00C57832">
        <w:rPr>
          <w:rFonts w:eastAsia="Times New Roman"/>
          <w:lang w:val="fr-BE" w:eastAsia="nl-NL"/>
        </w:rPr>
        <w:fldChar w:fldCharType="separate"/>
      </w:r>
      <w:r w:rsidRPr="00C57832">
        <w:rPr>
          <w:rFonts w:eastAsia="Times New Roman"/>
          <w:lang w:val="fr-BE" w:eastAsia="nl-NL"/>
        </w:rPr>
        <w:t>&lt;remplir point de référence&gt;</w:t>
      </w:r>
      <w:r w:rsidRPr="00C57832">
        <w:rPr>
          <w:rFonts w:eastAsia="Times New Roman"/>
          <w:lang w:val="fr-BE" w:eastAsia="nl-NL"/>
        </w:rPr>
        <w:fldChar w:fldCharType="end"/>
      </w:r>
      <w:r w:rsidRPr="00C57832">
        <w:rPr>
          <w:rFonts w:eastAsia="Times New Roman"/>
          <w:vertAlign w:val="superscript"/>
          <w:lang w:val="fr-BE" w:eastAsia="nl-NL"/>
        </w:rPr>
        <w:footnoteReference w:id="15"/>
      </w:r>
      <w:r w:rsidRPr="00C57832">
        <w:rPr>
          <w:rFonts w:eastAsia="Times New Roman"/>
          <w:lang w:val="fr-BE" w:eastAsia="nl-NL"/>
        </w:rPr>
        <w:t xml:space="preserve"> .</w:t>
      </w:r>
    </w:p>
    <w:p w14:paraId="69D59E08" w14:textId="1BDD94D1" w:rsidR="00BC4B0C" w:rsidRPr="00C57832" w:rsidRDefault="00BC4B0C">
      <w:pPr>
        <w:rPr>
          <w:szCs w:val="18"/>
          <w:lang w:val="fr-BE"/>
        </w:rPr>
      </w:pPr>
      <w:r w:rsidRPr="00C57832">
        <w:rPr>
          <w:rFonts w:eastAsia="Times New Roman"/>
          <w:lang w:val="fr-BE" w:eastAsia="nl-NL"/>
        </w:rPr>
        <w:t>L’attribution du Marché se fera – pour le critère « Prix de la prestation de services » - sur base des quantités estimées (voir art. 20) et en tenant compte d’une</w:t>
      </w:r>
      <w:r w:rsidRPr="00C57832">
        <w:rPr>
          <w:szCs w:val="18"/>
          <w:lang w:val="fr-BE"/>
        </w:rPr>
        <w:t xml:space="preserve"> distance la plus courte par la route de </w:t>
      </w:r>
      <w:r w:rsidR="008620DD" w:rsidRPr="00C57832">
        <w:rPr>
          <w:szCs w:val="18"/>
          <w:lang w:val="fr-BE"/>
        </w:rPr>
        <w:t>25</w:t>
      </w:r>
      <w:r w:rsidRPr="00C57832">
        <w:rPr>
          <w:szCs w:val="18"/>
          <w:lang w:val="fr-BE"/>
        </w:rPr>
        <w:t xml:space="preserve"> km</w:t>
      </w:r>
      <w:r w:rsidRPr="00C57832">
        <w:rPr>
          <w:rStyle w:val="Appelnotedebasdep"/>
          <w:szCs w:val="18"/>
          <w:lang w:val="fr-BE"/>
        </w:rPr>
        <w:footnoteReference w:id="16"/>
      </w:r>
      <w:r w:rsidRPr="00C57832">
        <w:rPr>
          <w:szCs w:val="18"/>
          <w:lang w:val="fr-BE"/>
        </w:rPr>
        <w:t>.</w:t>
      </w:r>
    </w:p>
    <w:p w14:paraId="397C7EE5" w14:textId="6737FC44" w:rsidR="006B4934" w:rsidRPr="00C57832" w:rsidRDefault="006B4934">
      <w:pPr>
        <w:rPr>
          <w:lang w:val="fr-BE"/>
        </w:rPr>
      </w:pPr>
      <w:r w:rsidRPr="00C57832">
        <w:rPr>
          <w:lang w:val="fr-BE"/>
        </w:rPr>
        <w:t>Le prix basé sur le nombre d'habitants peut valoir au minimum 50% et au maximum 70% de la rémunération totale po</w:t>
      </w:r>
      <w:r w:rsidR="009E7113" w:rsidRPr="00C57832">
        <w:rPr>
          <w:lang w:val="fr-BE"/>
        </w:rPr>
        <w:t>ur la collecte en porte-à-porte</w:t>
      </w:r>
      <w:r w:rsidRPr="00C57832">
        <w:rPr>
          <w:lang w:val="fr-BE"/>
        </w:rPr>
        <w:t>. On utilisera toujours les quantités annuelles estimées, indiquées dans l'inventaire, comme base pour le calcul de la rémunération annuelle totale.</w:t>
      </w:r>
    </w:p>
    <w:p w14:paraId="397C7EE6" w14:textId="77777777" w:rsidR="006B4934" w:rsidRPr="00C57832" w:rsidRDefault="0043211A">
      <w:pPr>
        <w:rPr>
          <w:lang w:val="fr-BE"/>
        </w:rPr>
      </w:pPr>
      <w:r w:rsidRPr="00C57832">
        <w:rPr>
          <w:lang w:val="fr-BE"/>
        </w:rPr>
        <w:t>Un e</w:t>
      </w:r>
      <w:r w:rsidR="006B4934" w:rsidRPr="00C57832">
        <w:rPr>
          <w:lang w:val="fr-BE"/>
        </w:rPr>
        <w:t>xemple fictif pour éclaircissement :</w:t>
      </w:r>
    </w:p>
    <w:p w14:paraId="397C7EE7" w14:textId="700E6DFA" w:rsidR="00681B3E" w:rsidRPr="00C57832" w:rsidRDefault="006B4934" w:rsidP="00BB166A">
      <w:pPr>
        <w:pStyle w:val="Listepuces"/>
        <w:numPr>
          <w:ilvl w:val="0"/>
          <w:numId w:val="23"/>
        </w:numPr>
        <w:rPr>
          <w:lang w:val="fr-BE"/>
        </w:rPr>
      </w:pPr>
      <w:proofErr w:type="gramStart"/>
      <w:r w:rsidRPr="00C57832">
        <w:rPr>
          <w:lang w:val="fr-BE"/>
        </w:rPr>
        <w:t>le</w:t>
      </w:r>
      <w:proofErr w:type="gramEnd"/>
      <w:r w:rsidRPr="00C57832">
        <w:rPr>
          <w:lang w:val="fr-BE"/>
        </w:rPr>
        <w:t xml:space="preserve"> nombre d'habitants est de 50.000</w:t>
      </w:r>
      <w:r w:rsidR="001532DE" w:rsidRPr="00C57832">
        <w:rPr>
          <w:lang w:val="fr-BE"/>
        </w:rPr>
        <w:t> ;</w:t>
      </w:r>
    </w:p>
    <w:p w14:paraId="397C7EE8" w14:textId="729B04C6" w:rsidR="00681B3E" w:rsidRPr="00C57832" w:rsidRDefault="006B4934" w:rsidP="00BB166A">
      <w:pPr>
        <w:pStyle w:val="Listepuces"/>
        <w:numPr>
          <w:ilvl w:val="0"/>
          <w:numId w:val="23"/>
        </w:numPr>
        <w:rPr>
          <w:lang w:val="fr-BE"/>
        </w:rPr>
      </w:pPr>
      <w:proofErr w:type="gramStart"/>
      <w:r w:rsidRPr="00C57832">
        <w:rPr>
          <w:lang w:val="fr-BE"/>
        </w:rPr>
        <w:t>le</w:t>
      </w:r>
      <w:proofErr w:type="gramEnd"/>
      <w:r w:rsidRPr="00C57832">
        <w:rPr>
          <w:lang w:val="fr-BE"/>
        </w:rPr>
        <w:t xml:space="preserve"> tonnage estimé à collecter en porte à porte est de 700 tonnes par an</w:t>
      </w:r>
      <w:r w:rsidR="001532DE" w:rsidRPr="00C57832">
        <w:rPr>
          <w:lang w:val="fr-BE"/>
        </w:rPr>
        <w:t> ;</w:t>
      </w:r>
    </w:p>
    <w:p w14:paraId="397C7EE9" w14:textId="2FA03E17" w:rsidR="00681B3E" w:rsidRPr="00C57832" w:rsidRDefault="006B4934" w:rsidP="00BB166A">
      <w:pPr>
        <w:pStyle w:val="Listepuces"/>
        <w:numPr>
          <w:ilvl w:val="0"/>
          <w:numId w:val="23"/>
        </w:numPr>
        <w:rPr>
          <w:lang w:val="fr-BE"/>
        </w:rPr>
      </w:pPr>
      <w:proofErr w:type="gramStart"/>
      <w:r w:rsidRPr="00C57832">
        <w:rPr>
          <w:lang w:val="fr-BE"/>
        </w:rPr>
        <w:t>il</w:t>
      </w:r>
      <w:proofErr w:type="gramEnd"/>
      <w:r w:rsidRPr="00C57832">
        <w:rPr>
          <w:lang w:val="fr-BE"/>
        </w:rPr>
        <w:t xml:space="preserve"> est proposé un prix unitaire de 50 EUR/T et un prix de 1 EUR/habitant</w:t>
      </w:r>
      <w:r w:rsidR="001532DE" w:rsidRPr="00C57832">
        <w:rPr>
          <w:lang w:val="fr-BE"/>
        </w:rPr>
        <w:t> ;</w:t>
      </w:r>
    </w:p>
    <w:p w14:paraId="397C7EEA" w14:textId="506DA2CC" w:rsidR="00681B3E" w:rsidRPr="00C57832" w:rsidRDefault="006B4934" w:rsidP="00BB166A">
      <w:pPr>
        <w:pStyle w:val="Listepuces"/>
        <w:numPr>
          <w:ilvl w:val="0"/>
          <w:numId w:val="23"/>
        </w:numPr>
        <w:rPr>
          <w:lang w:val="fr-BE"/>
        </w:rPr>
      </w:pPr>
      <w:proofErr w:type="gramStart"/>
      <w:r w:rsidRPr="00C57832">
        <w:rPr>
          <w:lang w:val="fr-BE"/>
        </w:rPr>
        <w:t>le</w:t>
      </w:r>
      <w:proofErr w:type="gramEnd"/>
      <w:r w:rsidRPr="00C57832">
        <w:rPr>
          <w:lang w:val="fr-BE"/>
        </w:rPr>
        <w:t xml:space="preserve"> prix pour la partie basée sur le nombre d'habitants est de 50.000 x 1 = 50.000 EUR</w:t>
      </w:r>
      <w:r w:rsidR="001532DE" w:rsidRPr="00C57832">
        <w:rPr>
          <w:lang w:val="fr-BE"/>
        </w:rPr>
        <w:t> ;</w:t>
      </w:r>
    </w:p>
    <w:p w14:paraId="397C7EEB" w14:textId="0F04DE8E" w:rsidR="00681B3E" w:rsidRPr="00C57832" w:rsidRDefault="006B4934" w:rsidP="00BB166A">
      <w:pPr>
        <w:pStyle w:val="Listepuces"/>
        <w:numPr>
          <w:ilvl w:val="0"/>
          <w:numId w:val="23"/>
        </w:numPr>
        <w:rPr>
          <w:lang w:val="fr-BE"/>
        </w:rPr>
      </w:pPr>
      <w:proofErr w:type="gramStart"/>
      <w:r w:rsidRPr="00C57832">
        <w:rPr>
          <w:lang w:val="fr-BE"/>
        </w:rPr>
        <w:t>le</w:t>
      </w:r>
      <w:proofErr w:type="gramEnd"/>
      <w:r w:rsidRPr="00C57832">
        <w:rPr>
          <w:lang w:val="fr-BE"/>
        </w:rPr>
        <w:t xml:space="preserve"> prix pour la partie basée sur les tonnages est de 700 x  50 = 35.000 EUR</w:t>
      </w:r>
      <w:r w:rsidR="001532DE" w:rsidRPr="00C57832">
        <w:rPr>
          <w:lang w:val="fr-BE"/>
        </w:rPr>
        <w:t> ;</w:t>
      </w:r>
    </w:p>
    <w:p w14:paraId="397C7EEC" w14:textId="77777777" w:rsidR="00681B3E" w:rsidRPr="00C57832" w:rsidRDefault="006B4934" w:rsidP="00BB166A">
      <w:pPr>
        <w:pStyle w:val="Listepuces"/>
        <w:numPr>
          <w:ilvl w:val="0"/>
          <w:numId w:val="23"/>
        </w:numPr>
        <w:rPr>
          <w:lang w:val="fr-BE"/>
        </w:rPr>
      </w:pPr>
      <w:proofErr w:type="gramStart"/>
      <w:r w:rsidRPr="00C57832">
        <w:rPr>
          <w:lang w:val="fr-BE"/>
        </w:rPr>
        <w:t>le</w:t>
      </w:r>
      <w:proofErr w:type="gramEnd"/>
      <w:r w:rsidRPr="00C57832">
        <w:rPr>
          <w:lang w:val="fr-BE"/>
        </w:rPr>
        <w:t xml:space="preserve"> prix total est donc de 50.000 EUR + 35.000 EUR = 85.000 EUR par an.</w:t>
      </w:r>
    </w:p>
    <w:p w14:paraId="397C7EED" w14:textId="77777777" w:rsidR="006B4934" w:rsidRPr="00C57832" w:rsidRDefault="006B4934" w:rsidP="00FD4339">
      <w:pPr>
        <w:spacing w:after="0"/>
        <w:rPr>
          <w:lang w:val="fr-BE"/>
        </w:rPr>
      </w:pPr>
    </w:p>
    <w:p w14:paraId="397C7EEE" w14:textId="77777777" w:rsidR="006B4934" w:rsidRPr="00C57832" w:rsidRDefault="006B4934">
      <w:pPr>
        <w:rPr>
          <w:lang w:val="fr-BE"/>
        </w:rPr>
      </w:pPr>
      <w:r w:rsidRPr="00C57832">
        <w:rPr>
          <w:lang w:val="fr-BE"/>
        </w:rPr>
        <w:t xml:space="preserve">Tenant compte du fait que le prix basé sur le nombre d'habitants doit constituer minimum 50% et maximum 70% de la rémunération totale annuelle, cette partie du prix doit donc valoir un minimum de 42.500 EUR et un maximum de </w:t>
      </w:r>
      <w:r w:rsidR="00D30998" w:rsidRPr="00C57832">
        <w:rPr>
          <w:lang w:val="fr-BE"/>
        </w:rPr>
        <w:t>59.500</w:t>
      </w:r>
      <w:r w:rsidRPr="00C57832">
        <w:rPr>
          <w:lang w:val="fr-BE"/>
        </w:rPr>
        <w:t xml:space="preserve"> EUR dans cet exemple. La remise d'offre dans cet exemple fictif serait considérée comme valable.</w:t>
      </w:r>
    </w:p>
    <w:p w14:paraId="397C7EEF" w14:textId="184FC862" w:rsidR="006B4934" w:rsidRPr="00C57832" w:rsidRDefault="006B4934">
      <w:pPr>
        <w:rPr>
          <w:lang w:val="fr-BE"/>
        </w:rPr>
      </w:pPr>
      <w:r w:rsidRPr="00C57832">
        <w:rPr>
          <w:lang w:val="fr-BE"/>
        </w:rPr>
        <w:t xml:space="preserve">Le pont de pesée </w:t>
      </w:r>
      <w:r w:rsidR="0057369C" w:rsidRPr="00C57832">
        <w:rPr>
          <w:lang w:val="fr-BE"/>
        </w:rPr>
        <w:t xml:space="preserve">du centre de tri (ou de la station de transfert proposée par ce dernier) </w:t>
      </w:r>
      <w:r w:rsidRPr="00C57832">
        <w:rPr>
          <w:lang w:val="fr-BE"/>
        </w:rPr>
        <w:t>sera considéré comme référence et donc utilisé comme base de facturation</w:t>
      </w:r>
      <w:r w:rsidR="008735FC" w:rsidRPr="00C57832">
        <w:rPr>
          <w:szCs w:val="18"/>
          <w:lang w:val="fr-BE"/>
        </w:rPr>
        <w:t xml:space="preserve"> aussi bien pour les tonnages collectés que pour le nombre de kilomètres parcourus</w:t>
      </w:r>
      <w:r w:rsidRPr="00C57832">
        <w:rPr>
          <w:lang w:val="fr-BE"/>
        </w:rPr>
        <w:t xml:space="preserve">. </w:t>
      </w:r>
      <w:r w:rsidR="008735FC" w:rsidRPr="00C57832">
        <w:rPr>
          <w:szCs w:val="18"/>
          <w:lang w:val="fr-BE"/>
        </w:rPr>
        <w:t xml:space="preserve">Il sera tenu compte de la distance la plus courte par la route de </w:t>
      </w:r>
      <w:r w:rsidR="008735FC" w:rsidRPr="00C57832">
        <w:rPr>
          <w:szCs w:val="18"/>
          <w:lang w:val="fr-BE"/>
        </w:rPr>
        <w:fldChar w:fldCharType="begin">
          <w:ffData>
            <w:name w:val=""/>
            <w:enabled/>
            <w:calcOnExit w:val="0"/>
            <w:textInput>
              <w:default w:val="&lt;remplir point de référence&gt;"/>
            </w:textInput>
          </w:ffData>
        </w:fldChar>
      </w:r>
      <w:r w:rsidR="008735FC" w:rsidRPr="00C57832">
        <w:rPr>
          <w:szCs w:val="18"/>
          <w:lang w:val="fr-BE"/>
        </w:rPr>
        <w:instrText xml:space="preserve"> FORMTEXT </w:instrText>
      </w:r>
      <w:r w:rsidR="008735FC" w:rsidRPr="00C57832">
        <w:rPr>
          <w:szCs w:val="18"/>
          <w:lang w:val="fr-BE"/>
        </w:rPr>
      </w:r>
      <w:r w:rsidR="008735FC" w:rsidRPr="00C57832">
        <w:rPr>
          <w:szCs w:val="18"/>
          <w:lang w:val="fr-BE"/>
        </w:rPr>
        <w:fldChar w:fldCharType="separate"/>
      </w:r>
      <w:r w:rsidR="008735FC" w:rsidRPr="00C57832">
        <w:rPr>
          <w:szCs w:val="18"/>
          <w:lang w:val="fr-BE"/>
        </w:rPr>
        <w:t>&lt;remplir point de référence&gt;</w:t>
      </w:r>
      <w:r w:rsidR="008735FC" w:rsidRPr="00C57832">
        <w:rPr>
          <w:szCs w:val="18"/>
          <w:lang w:val="fr-BE"/>
        </w:rPr>
        <w:fldChar w:fldCharType="end"/>
      </w:r>
      <w:r w:rsidR="008735FC" w:rsidRPr="00C57832">
        <w:rPr>
          <w:szCs w:val="18"/>
          <w:lang w:val="fr-BE"/>
        </w:rPr>
        <w:t xml:space="preserve"> jusqu’au point de livraison, calculée sur base du logiciel </w:t>
      </w:r>
      <w:proofErr w:type="spellStart"/>
      <w:r w:rsidR="008735FC" w:rsidRPr="00C57832">
        <w:rPr>
          <w:szCs w:val="18"/>
          <w:lang w:val="fr-BE"/>
        </w:rPr>
        <w:t>Routenet</w:t>
      </w:r>
      <w:proofErr w:type="spellEnd"/>
      <w:r w:rsidR="008735FC" w:rsidRPr="00C57832">
        <w:rPr>
          <w:szCs w:val="18"/>
          <w:lang w:val="fr-BE"/>
        </w:rPr>
        <w:t xml:space="preserve"> (camions 20 T). </w:t>
      </w:r>
      <w:r w:rsidRPr="00C57832">
        <w:rPr>
          <w:lang w:val="fr-BE"/>
        </w:rPr>
        <w:t>Moyennant l'accord de toutes les parties concernées, c'est-à-</w:t>
      </w:r>
      <w:r w:rsidRPr="00C57832">
        <w:rPr>
          <w:lang w:val="fr-BE"/>
        </w:rPr>
        <w:lastRenderedPageBreak/>
        <w:t>dire le pouvoir adjudicateur, le prestataire de services, le centre de tri</w:t>
      </w:r>
      <w:r w:rsidR="008735FC" w:rsidRPr="00C57832">
        <w:rPr>
          <w:lang w:val="fr-BE"/>
        </w:rPr>
        <w:t>/</w:t>
      </w:r>
      <w:r w:rsidRPr="00C57832">
        <w:rPr>
          <w:lang w:val="fr-BE"/>
        </w:rPr>
        <w:t xml:space="preserve">la station de </w:t>
      </w:r>
      <w:r w:rsidR="001B007C" w:rsidRPr="00C57832">
        <w:rPr>
          <w:lang w:val="fr-BE"/>
        </w:rPr>
        <w:t>transfert et</w:t>
      </w:r>
      <w:r w:rsidRPr="00C57832">
        <w:rPr>
          <w:lang w:val="fr-BE"/>
        </w:rPr>
        <w:t xml:space="preserve"> </w:t>
      </w:r>
      <w:proofErr w:type="spellStart"/>
      <w:r w:rsidRPr="00C57832">
        <w:rPr>
          <w:lang w:val="fr-BE"/>
        </w:rPr>
        <w:t>Fost</w:t>
      </w:r>
      <w:proofErr w:type="spellEnd"/>
      <w:r w:rsidRPr="00C57832">
        <w:rPr>
          <w:lang w:val="fr-BE"/>
        </w:rPr>
        <w:t xml:space="preserve"> Plus, ce pont de pesée peut être modifié en cours de </w:t>
      </w:r>
      <w:r w:rsidR="005E5746" w:rsidRPr="00C57832">
        <w:rPr>
          <w:lang w:val="fr-BE"/>
        </w:rPr>
        <w:t>Marché</w:t>
      </w:r>
      <w:r w:rsidRPr="00C57832">
        <w:rPr>
          <w:lang w:val="fr-BE"/>
        </w:rPr>
        <w:t>.</w:t>
      </w:r>
    </w:p>
    <w:p w14:paraId="397C7EF0" w14:textId="3C50F6B1" w:rsidR="006B4934" w:rsidRPr="00E03B09" w:rsidRDefault="006B4934" w:rsidP="00BB166A">
      <w:pPr>
        <w:pStyle w:val="Paragraphedeliste"/>
        <w:numPr>
          <w:ilvl w:val="1"/>
          <w:numId w:val="24"/>
        </w:numPr>
        <w:rPr>
          <w:sz w:val="24"/>
          <w:lang w:val="fr-BE" w:eastAsia="nl-NL"/>
        </w:rPr>
      </w:pPr>
      <w:bookmarkStart w:id="158" w:name="_Toc200945530"/>
      <w:bookmarkStart w:id="159" w:name="_Toc201025161"/>
      <w:bookmarkStart w:id="160" w:name="_Toc201587468"/>
      <w:bookmarkStart w:id="161" w:name="_Toc513197771"/>
      <w:r w:rsidRPr="00E03B09">
        <w:rPr>
          <w:sz w:val="24"/>
          <w:lang w:val="fr-BE" w:eastAsia="nl-NL"/>
        </w:rPr>
        <w:t xml:space="preserve">Placement et location des conteneurs dans les </w:t>
      </w:r>
      <w:proofErr w:type="spellStart"/>
      <w:r w:rsidR="00872188" w:rsidRPr="00E03B09">
        <w:rPr>
          <w:sz w:val="24"/>
          <w:lang w:val="fr-BE" w:eastAsia="nl-NL"/>
        </w:rPr>
        <w:t>recyparcs</w:t>
      </w:r>
      <w:proofErr w:type="spellEnd"/>
      <w:r w:rsidRPr="00E03B09">
        <w:rPr>
          <w:sz w:val="24"/>
          <w:lang w:val="fr-BE" w:eastAsia="nl-NL"/>
        </w:rPr>
        <w:t xml:space="preserve"> (lot 2)</w:t>
      </w:r>
      <w:bookmarkEnd w:id="158"/>
      <w:bookmarkEnd w:id="159"/>
      <w:bookmarkEnd w:id="160"/>
      <w:bookmarkEnd w:id="161"/>
    </w:p>
    <w:p w14:paraId="397C7EF1" w14:textId="509BDD61" w:rsidR="006B4934" w:rsidRPr="00C57832" w:rsidRDefault="006B4934">
      <w:pPr>
        <w:rPr>
          <w:lang w:val="fr-BE"/>
        </w:rPr>
      </w:pPr>
      <w:r w:rsidRPr="00C57832">
        <w:rPr>
          <w:lang w:val="fr-BE"/>
        </w:rPr>
        <w:t xml:space="preserve">Le soumissionnaire </w:t>
      </w:r>
      <w:r w:rsidR="0043211A" w:rsidRPr="00C57832">
        <w:rPr>
          <w:lang w:val="fr-BE"/>
        </w:rPr>
        <w:t>mentionne</w:t>
      </w:r>
      <w:r w:rsidRPr="00C57832">
        <w:rPr>
          <w:lang w:val="fr-BE"/>
        </w:rPr>
        <w:t xml:space="preserve">, par type de conteneur, un prix </w:t>
      </w:r>
      <w:r w:rsidR="008735FC" w:rsidRPr="00C57832">
        <w:rPr>
          <w:szCs w:val="18"/>
          <w:lang w:val="fr-BE"/>
        </w:rPr>
        <w:t>par an et par conteneur pour la location et le déchargement du conteneur au point de livraison</w:t>
      </w:r>
      <w:r w:rsidRPr="00C57832">
        <w:rPr>
          <w:lang w:val="fr-BE"/>
        </w:rPr>
        <w:t>.</w:t>
      </w:r>
    </w:p>
    <w:p w14:paraId="397C7EF2" w14:textId="46C5B90C" w:rsidR="006B4934" w:rsidRPr="00E03B09" w:rsidRDefault="006B4934" w:rsidP="00BB166A">
      <w:pPr>
        <w:pStyle w:val="Paragraphedeliste"/>
        <w:numPr>
          <w:ilvl w:val="1"/>
          <w:numId w:val="24"/>
        </w:numPr>
        <w:rPr>
          <w:sz w:val="24"/>
          <w:lang w:val="fr-BE" w:eastAsia="nl-NL"/>
        </w:rPr>
      </w:pPr>
      <w:bookmarkStart w:id="162" w:name="_Toc200945531"/>
      <w:bookmarkStart w:id="163" w:name="_Toc201025162"/>
      <w:bookmarkStart w:id="164" w:name="_Toc201587469"/>
      <w:bookmarkStart w:id="165" w:name="_Toc513197772"/>
      <w:r w:rsidRPr="00E03B09">
        <w:rPr>
          <w:sz w:val="24"/>
          <w:lang w:val="fr-BE" w:eastAsia="nl-NL"/>
        </w:rPr>
        <w:t xml:space="preserve">Evacuation et </w:t>
      </w:r>
      <w:r w:rsidR="002E6479" w:rsidRPr="00E03B09">
        <w:rPr>
          <w:sz w:val="24"/>
          <w:lang w:val="fr-BE" w:eastAsia="nl-NL"/>
        </w:rPr>
        <w:t xml:space="preserve">versage </w:t>
      </w:r>
      <w:r w:rsidRPr="00E03B09">
        <w:rPr>
          <w:sz w:val="24"/>
          <w:lang w:val="fr-BE" w:eastAsia="nl-NL"/>
        </w:rPr>
        <w:t>des conteneurs vers le centre de tri (ou la station de transfert) (lot 2)</w:t>
      </w:r>
      <w:bookmarkEnd w:id="162"/>
      <w:bookmarkEnd w:id="163"/>
      <w:bookmarkEnd w:id="164"/>
      <w:bookmarkEnd w:id="165"/>
    </w:p>
    <w:p w14:paraId="397C7EF3" w14:textId="0688AB2F" w:rsidR="006B4934" w:rsidRPr="00C57832" w:rsidRDefault="006B4934">
      <w:pPr>
        <w:rPr>
          <w:lang w:val="fr-BE"/>
        </w:rPr>
      </w:pPr>
      <w:r w:rsidRPr="00C57832">
        <w:rPr>
          <w:lang w:val="fr-BE"/>
        </w:rPr>
        <w:t xml:space="preserve">Selon le type de conteneur, le soumissionnaire fixe un prix </w:t>
      </w:r>
      <w:r w:rsidR="003A04D1" w:rsidRPr="00C57832">
        <w:rPr>
          <w:lang w:val="fr-BE"/>
        </w:rPr>
        <w:t>par</w:t>
      </w:r>
      <w:r w:rsidRPr="00C57832">
        <w:rPr>
          <w:lang w:val="fr-BE"/>
        </w:rPr>
        <w:t xml:space="preserve"> tonne</w:t>
      </w:r>
      <w:r w:rsidR="008735FC" w:rsidRPr="00C57832">
        <w:rPr>
          <w:lang w:val="fr-BE"/>
        </w:rPr>
        <w:t xml:space="preserve"> et par kilomètre</w:t>
      </w:r>
      <w:r w:rsidRPr="00C57832">
        <w:rPr>
          <w:lang w:val="fr-BE"/>
        </w:rPr>
        <w:t xml:space="preserve"> pour l’évacuation et </w:t>
      </w:r>
      <w:r w:rsidR="002E6479" w:rsidRPr="00C57832">
        <w:rPr>
          <w:lang w:val="fr-BE"/>
        </w:rPr>
        <w:t xml:space="preserve">le versage </w:t>
      </w:r>
      <w:r w:rsidRPr="00C57832">
        <w:rPr>
          <w:lang w:val="fr-BE"/>
        </w:rPr>
        <w:t xml:space="preserve">du PMC vers le centre de tri (ou la station de transfert proposée par ce dernier) </w:t>
      </w:r>
      <w:r w:rsidR="00B20766" w:rsidRPr="00C57832">
        <w:rPr>
          <w:lang w:val="fr-BE"/>
        </w:rPr>
        <w:t xml:space="preserve">désignée par </w:t>
      </w:r>
      <w:r w:rsidRPr="00C57832">
        <w:rPr>
          <w:lang w:val="fr-BE"/>
        </w:rPr>
        <w:t>le pouvoir adjudicateur</w:t>
      </w:r>
      <w:r w:rsidR="00B20766" w:rsidRPr="00C57832">
        <w:rPr>
          <w:lang w:val="fr-BE"/>
        </w:rPr>
        <w:t xml:space="preserve"> ou </w:t>
      </w:r>
      <w:proofErr w:type="spellStart"/>
      <w:r w:rsidR="00B20766" w:rsidRPr="00C57832">
        <w:rPr>
          <w:lang w:val="fr-BE"/>
        </w:rPr>
        <w:t>Fost</w:t>
      </w:r>
      <w:proofErr w:type="spellEnd"/>
      <w:r w:rsidR="00B20766" w:rsidRPr="00C57832">
        <w:rPr>
          <w:lang w:val="fr-BE"/>
        </w:rPr>
        <w:t xml:space="preserve"> Plus</w:t>
      </w:r>
      <w:r w:rsidRPr="00C57832">
        <w:rPr>
          <w:lang w:val="fr-BE"/>
        </w:rPr>
        <w:t>.</w:t>
      </w:r>
      <w:r w:rsidR="008735FC" w:rsidRPr="00C57832">
        <w:rPr>
          <w:szCs w:val="18"/>
          <w:lang w:val="fr-BE"/>
        </w:rPr>
        <w:t xml:space="preserve"> Il sera tenu compte de la distance la plus courte par la route, calculée sur base du logiciel </w:t>
      </w:r>
      <w:proofErr w:type="spellStart"/>
      <w:r w:rsidR="008735FC" w:rsidRPr="00C57832">
        <w:rPr>
          <w:szCs w:val="18"/>
          <w:lang w:val="fr-BE"/>
        </w:rPr>
        <w:t>Routenet</w:t>
      </w:r>
      <w:proofErr w:type="spellEnd"/>
      <w:r w:rsidR="008735FC" w:rsidRPr="00C57832">
        <w:rPr>
          <w:szCs w:val="18"/>
          <w:lang w:val="fr-BE"/>
        </w:rPr>
        <w:t xml:space="preserve"> (camions 20 T).</w:t>
      </w:r>
    </w:p>
    <w:p w14:paraId="4AA9C13F" w14:textId="77777777" w:rsidR="003A04D1" w:rsidRPr="00C57832" w:rsidRDefault="003A04D1" w:rsidP="003A04D1">
      <w:pPr>
        <w:rPr>
          <w:rFonts w:eastAsia="Times New Roman"/>
          <w:lang w:val="fr-BE" w:eastAsia="nl-NL"/>
        </w:rPr>
      </w:pPr>
      <w:r w:rsidRPr="00C57832">
        <w:rPr>
          <w:rFonts w:eastAsia="Times New Roman"/>
          <w:lang w:val="fr-BE" w:eastAsia="nl-NL"/>
        </w:rPr>
        <w:t xml:space="preserve">Le soumissionnaire tient compte du fait que le centre de tri pour le PMC n’est pas encore connu et/ou peut changer au cours du Marché. Le lieu de livraison du centre de tri se situe à une distance maximale la plus courte par la route de 75 km par rapport à </w:t>
      </w:r>
      <w:r w:rsidRPr="00C57832">
        <w:rPr>
          <w:rFonts w:eastAsia="Times New Roman"/>
          <w:lang w:val="fr-BE" w:eastAsia="nl-NL"/>
        </w:rPr>
        <w:fldChar w:fldCharType="begin">
          <w:ffData>
            <w:name w:val=""/>
            <w:enabled/>
            <w:calcOnExit w:val="0"/>
            <w:textInput>
              <w:default w:val="&lt;remplir point de référence&gt;"/>
            </w:textInput>
          </w:ffData>
        </w:fldChar>
      </w:r>
      <w:r w:rsidRPr="00C57832">
        <w:rPr>
          <w:rFonts w:eastAsia="Times New Roman"/>
          <w:lang w:val="fr-BE" w:eastAsia="nl-NL"/>
        </w:rPr>
        <w:instrText xml:space="preserve"> FORMTEXT </w:instrText>
      </w:r>
      <w:r w:rsidRPr="00C57832">
        <w:rPr>
          <w:rFonts w:eastAsia="Times New Roman"/>
          <w:lang w:val="fr-BE" w:eastAsia="nl-NL"/>
        </w:rPr>
      </w:r>
      <w:r w:rsidRPr="00C57832">
        <w:rPr>
          <w:rFonts w:eastAsia="Times New Roman"/>
          <w:lang w:val="fr-BE" w:eastAsia="nl-NL"/>
        </w:rPr>
        <w:fldChar w:fldCharType="separate"/>
      </w:r>
      <w:r w:rsidRPr="00C57832">
        <w:rPr>
          <w:rFonts w:eastAsia="Times New Roman"/>
          <w:lang w:val="fr-BE" w:eastAsia="nl-NL"/>
        </w:rPr>
        <w:t>&lt;remplir point de référence&gt;</w:t>
      </w:r>
      <w:r w:rsidRPr="00C57832">
        <w:rPr>
          <w:rFonts w:eastAsia="Times New Roman"/>
          <w:lang w:val="fr-BE" w:eastAsia="nl-NL"/>
        </w:rPr>
        <w:fldChar w:fldCharType="end"/>
      </w:r>
      <w:r w:rsidRPr="00C57832">
        <w:rPr>
          <w:rFonts w:eastAsia="Times New Roman"/>
          <w:vertAlign w:val="superscript"/>
          <w:lang w:val="fr-BE" w:eastAsia="nl-NL"/>
        </w:rPr>
        <w:footnoteReference w:id="17"/>
      </w:r>
      <w:r w:rsidRPr="00C57832">
        <w:rPr>
          <w:rFonts w:eastAsia="Times New Roman"/>
          <w:lang w:val="fr-BE" w:eastAsia="nl-NL"/>
        </w:rPr>
        <w:t xml:space="preserve"> .</w:t>
      </w:r>
    </w:p>
    <w:p w14:paraId="6D6768D9" w14:textId="261A7C35" w:rsidR="003A04D1" w:rsidRPr="00C57832" w:rsidRDefault="003A04D1" w:rsidP="003A04D1">
      <w:pPr>
        <w:rPr>
          <w:szCs w:val="18"/>
          <w:lang w:val="fr-BE"/>
        </w:rPr>
      </w:pPr>
      <w:r w:rsidRPr="00C57832">
        <w:rPr>
          <w:rFonts w:eastAsia="Times New Roman"/>
          <w:lang w:val="fr-BE" w:eastAsia="nl-NL"/>
        </w:rPr>
        <w:t>L’attribution du Marché se fera – pour le critère « Prix de la prestation de services » - sur base des quantités estimées (voir art. 20) et en tenant compte d’une</w:t>
      </w:r>
      <w:r w:rsidRPr="00C57832">
        <w:rPr>
          <w:szCs w:val="18"/>
          <w:lang w:val="fr-BE"/>
        </w:rPr>
        <w:t xml:space="preserve"> distance la plus courte par la route de </w:t>
      </w:r>
      <w:r w:rsidR="008620DD" w:rsidRPr="00C57832">
        <w:rPr>
          <w:szCs w:val="18"/>
          <w:lang w:val="fr-BE"/>
        </w:rPr>
        <w:t>25</w:t>
      </w:r>
      <w:r w:rsidRPr="00C57832">
        <w:rPr>
          <w:szCs w:val="18"/>
          <w:lang w:val="fr-BE"/>
        </w:rPr>
        <w:t xml:space="preserve"> km</w:t>
      </w:r>
      <w:r w:rsidRPr="00C57832">
        <w:rPr>
          <w:rStyle w:val="Appelnotedebasdep"/>
          <w:szCs w:val="18"/>
          <w:lang w:val="fr-BE"/>
        </w:rPr>
        <w:footnoteReference w:id="18"/>
      </w:r>
      <w:r w:rsidRPr="00C57832">
        <w:rPr>
          <w:szCs w:val="18"/>
          <w:lang w:val="fr-BE"/>
        </w:rPr>
        <w:t>.</w:t>
      </w:r>
    </w:p>
    <w:p w14:paraId="397C7EF4" w14:textId="5A30758E" w:rsidR="006B4934" w:rsidRPr="00C57832" w:rsidRDefault="006B4934">
      <w:pPr>
        <w:rPr>
          <w:lang w:val="fr-BE"/>
        </w:rPr>
      </w:pPr>
      <w:r w:rsidRPr="00C57832">
        <w:rPr>
          <w:lang w:val="fr-BE"/>
        </w:rPr>
        <w:t xml:space="preserve">Le pont de pesée </w:t>
      </w:r>
      <w:r w:rsidR="0057369C" w:rsidRPr="00C57832">
        <w:rPr>
          <w:lang w:val="fr-BE"/>
        </w:rPr>
        <w:t>du centre de tri (ou de la station de transfert proposée par ce dernier)</w:t>
      </w:r>
      <w:r w:rsidRPr="00C57832">
        <w:rPr>
          <w:lang w:val="fr-BE"/>
        </w:rPr>
        <w:t xml:space="preserve"> sera considéré comme référence et donc utilisé comme base de facturation</w:t>
      </w:r>
      <w:r w:rsidR="008735FC" w:rsidRPr="00C57832">
        <w:rPr>
          <w:szCs w:val="18"/>
          <w:lang w:val="fr-BE"/>
        </w:rPr>
        <w:t xml:space="preserve"> aussi bien pour les tonnages collectés que pour le nombre de kilomètres parcourus</w:t>
      </w:r>
      <w:r w:rsidR="008735FC" w:rsidRPr="00C57832">
        <w:rPr>
          <w:lang w:val="fr-BE"/>
        </w:rPr>
        <w:t xml:space="preserve">. </w:t>
      </w:r>
      <w:r w:rsidR="008735FC" w:rsidRPr="00C57832">
        <w:rPr>
          <w:szCs w:val="18"/>
          <w:lang w:val="fr-BE"/>
        </w:rPr>
        <w:t xml:space="preserve">Il sera tenu compte de la distance la plus courte par la route de </w:t>
      </w:r>
      <w:r w:rsidR="008735FC" w:rsidRPr="00C57832">
        <w:rPr>
          <w:szCs w:val="18"/>
          <w:lang w:val="fr-BE"/>
        </w:rPr>
        <w:fldChar w:fldCharType="begin">
          <w:ffData>
            <w:name w:val=""/>
            <w:enabled/>
            <w:calcOnExit w:val="0"/>
            <w:textInput>
              <w:default w:val="&lt;remplir point de référence&gt;"/>
            </w:textInput>
          </w:ffData>
        </w:fldChar>
      </w:r>
      <w:r w:rsidR="008735FC" w:rsidRPr="00C57832">
        <w:rPr>
          <w:szCs w:val="18"/>
          <w:lang w:val="fr-BE"/>
        </w:rPr>
        <w:instrText xml:space="preserve"> FORMTEXT </w:instrText>
      </w:r>
      <w:r w:rsidR="008735FC" w:rsidRPr="00C57832">
        <w:rPr>
          <w:szCs w:val="18"/>
          <w:lang w:val="fr-BE"/>
        </w:rPr>
      </w:r>
      <w:r w:rsidR="008735FC" w:rsidRPr="00C57832">
        <w:rPr>
          <w:szCs w:val="18"/>
          <w:lang w:val="fr-BE"/>
        </w:rPr>
        <w:fldChar w:fldCharType="separate"/>
      </w:r>
      <w:r w:rsidR="008735FC" w:rsidRPr="00C57832">
        <w:rPr>
          <w:szCs w:val="18"/>
          <w:lang w:val="fr-BE"/>
        </w:rPr>
        <w:t>&lt;remplir point de référence&gt;</w:t>
      </w:r>
      <w:r w:rsidR="008735FC" w:rsidRPr="00C57832">
        <w:rPr>
          <w:szCs w:val="18"/>
          <w:lang w:val="fr-BE"/>
        </w:rPr>
        <w:fldChar w:fldCharType="end"/>
      </w:r>
      <w:r w:rsidR="008735FC" w:rsidRPr="00C57832">
        <w:rPr>
          <w:szCs w:val="18"/>
          <w:lang w:val="fr-BE"/>
        </w:rPr>
        <w:t xml:space="preserve"> jusqu’au point de livraison, calculée sur base du logiciel </w:t>
      </w:r>
      <w:proofErr w:type="spellStart"/>
      <w:r w:rsidR="008735FC" w:rsidRPr="00C57832">
        <w:rPr>
          <w:szCs w:val="18"/>
          <w:lang w:val="fr-BE"/>
        </w:rPr>
        <w:t>Routenet</w:t>
      </w:r>
      <w:proofErr w:type="spellEnd"/>
      <w:r w:rsidR="008735FC" w:rsidRPr="00C57832">
        <w:rPr>
          <w:szCs w:val="18"/>
          <w:lang w:val="fr-BE"/>
        </w:rPr>
        <w:t xml:space="preserve"> (camions 20 T)</w:t>
      </w:r>
      <w:r w:rsidRPr="00C57832">
        <w:rPr>
          <w:lang w:val="fr-BE"/>
        </w:rPr>
        <w:t>. Moyennant l'accord de toutes les parties concernées, c'est-à-dire le pouvoir adjudicateur, le prestataire de services, le centre de tri</w:t>
      </w:r>
      <w:r w:rsidR="008735FC" w:rsidRPr="00C57832">
        <w:rPr>
          <w:lang w:val="fr-BE"/>
        </w:rPr>
        <w:t>/</w:t>
      </w:r>
      <w:r w:rsidRPr="00C57832">
        <w:rPr>
          <w:lang w:val="fr-BE"/>
        </w:rPr>
        <w:t>la station de transfert</w:t>
      </w:r>
      <w:r w:rsidR="00751929" w:rsidRPr="00C57832">
        <w:rPr>
          <w:lang w:val="fr-BE"/>
        </w:rPr>
        <w:t xml:space="preserve"> </w:t>
      </w:r>
      <w:r w:rsidRPr="00C57832">
        <w:rPr>
          <w:lang w:val="fr-BE"/>
        </w:rPr>
        <w:t xml:space="preserve">et </w:t>
      </w:r>
      <w:proofErr w:type="spellStart"/>
      <w:r w:rsidRPr="00C57832">
        <w:rPr>
          <w:lang w:val="fr-BE"/>
        </w:rPr>
        <w:t>Fost</w:t>
      </w:r>
      <w:proofErr w:type="spellEnd"/>
      <w:r w:rsidRPr="00C57832">
        <w:rPr>
          <w:lang w:val="fr-BE"/>
        </w:rPr>
        <w:t xml:space="preserve"> Plus, ce pont de pesée peut être modifié en cours de </w:t>
      </w:r>
      <w:r w:rsidR="005E5746" w:rsidRPr="00C57832">
        <w:rPr>
          <w:lang w:val="fr-BE"/>
        </w:rPr>
        <w:t>Marché</w:t>
      </w:r>
      <w:r w:rsidRPr="00C57832">
        <w:rPr>
          <w:lang w:val="fr-BE"/>
        </w:rPr>
        <w:t>.</w:t>
      </w:r>
    </w:p>
    <w:p w14:paraId="397C7EF5" w14:textId="60BD877B" w:rsidR="006B4934" w:rsidRPr="00E03B09" w:rsidRDefault="006B4934" w:rsidP="00BB166A">
      <w:pPr>
        <w:pStyle w:val="Paragraphedeliste"/>
        <w:numPr>
          <w:ilvl w:val="0"/>
          <w:numId w:val="24"/>
        </w:numPr>
        <w:rPr>
          <w:b/>
          <w:lang w:val="fr-BE" w:eastAsia="nl-NL"/>
        </w:rPr>
      </w:pPr>
      <w:bookmarkStart w:id="166" w:name="_Toc200945532"/>
      <w:bookmarkStart w:id="167" w:name="_Toc201025163"/>
      <w:bookmarkStart w:id="168" w:name="_Toc201587470"/>
      <w:bookmarkStart w:id="169" w:name="_Toc513197773"/>
      <w:r w:rsidRPr="00E03B09">
        <w:rPr>
          <w:b/>
          <w:sz w:val="24"/>
          <w:lang w:val="fr-BE" w:eastAsia="nl-NL"/>
        </w:rPr>
        <w:t>Origine et nature de la fraction PMC à collecter</w:t>
      </w:r>
      <w:bookmarkEnd w:id="166"/>
      <w:bookmarkEnd w:id="167"/>
      <w:bookmarkEnd w:id="168"/>
      <w:bookmarkEnd w:id="169"/>
    </w:p>
    <w:p w14:paraId="397C7EF6" w14:textId="61B5ADD2" w:rsidR="00EE01BC" w:rsidRPr="0012737C" w:rsidRDefault="006B4934" w:rsidP="003C2F9A">
      <w:pPr>
        <w:rPr>
          <w:lang w:val="fr-BE"/>
        </w:rPr>
      </w:pPr>
      <w:r w:rsidRPr="0012737C">
        <w:rPr>
          <w:lang w:val="fr-BE"/>
        </w:rPr>
        <w:t xml:space="preserve">L'objet du présent </w:t>
      </w:r>
      <w:r w:rsidR="005E5746" w:rsidRPr="0012737C">
        <w:rPr>
          <w:lang w:val="fr-BE"/>
        </w:rPr>
        <w:t>Marché</w:t>
      </w:r>
      <w:r w:rsidRPr="0012737C">
        <w:rPr>
          <w:lang w:val="fr-BE"/>
        </w:rPr>
        <w:t xml:space="preserve"> se limite à la collecte du PMC d'origine ménagère. </w:t>
      </w:r>
    </w:p>
    <w:p w14:paraId="397C7EF7" w14:textId="3E34434B" w:rsidR="00EE01BC" w:rsidRPr="0012737C" w:rsidRDefault="00EE01BC" w:rsidP="003C2F9A">
      <w:pPr>
        <w:rPr>
          <w:lang w:val="fr-BE"/>
        </w:rPr>
      </w:pPr>
      <w:r w:rsidRPr="0012737C">
        <w:rPr>
          <w:lang w:val="fr-BE"/>
        </w:rPr>
        <w:t xml:space="preserve">Dans les limites </w:t>
      </w:r>
      <w:r w:rsidR="006E05DE" w:rsidRPr="0012737C">
        <w:rPr>
          <w:lang w:val="fr-BE"/>
        </w:rPr>
        <w:t>des</w:t>
      </w:r>
      <w:r w:rsidR="00F07F3F" w:rsidRPr="0012737C">
        <w:rPr>
          <w:lang w:val="fr-BE"/>
        </w:rPr>
        <w:t xml:space="preserve"> réglementations régionales</w:t>
      </w:r>
      <w:r w:rsidRPr="0012737C">
        <w:rPr>
          <w:lang w:val="fr-BE"/>
        </w:rPr>
        <w:t>, les écoles, les associations, les commerçants, les PME, les bureaux, l’</w:t>
      </w:r>
      <w:proofErr w:type="spellStart"/>
      <w:r w:rsidRPr="0012737C">
        <w:rPr>
          <w:lang w:val="fr-BE"/>
        </w:rPr>
        <w:t>Horeca</w:t>
      </w:r>
      <w:proofErr w:type="spellEnd"/>
      <w:r w:rsidRPr="0012737C">
        <w:rPr>
          <w:lang w:val="fr-BE"/>
        </w:rPr>
        <w:t>, les administrations et les collectivités peuvent faire usage des modalités de collecte existantes pour le PMC.</w:t>
      </w:r>
      <w:r w:rsidR="00E00E32" w:rsidRPr="0012737C">
        <w:rPr>
          <w:lang w:val="fr-BE"/>
        </w:rPr>
        <w:t xml:space="preserve"> </w:t>
      </w:r>
      <w:r w:rsidR="00E00E32" w:rsidRPr="0012737C">
        <w:rPr>
          <w:szCs w:val="18"/>
          <w:lang w:val="fr-BE"/>
        </w:rPr>
        <w:t>La nature et la quantité présentée doit être comparable aux Déchets d’emballages présentés par les ménages.</w:t>
      </w:r>
    </w:p>
    <w:p w14:paraId="397C7EF9" w14:textId="57F9B1BA" w:rsidR="006B4934" w:rsidRPr="0012737C" w:rsidRDefault="006B4934">
      <w:pPr>
        <w:rPr>
          <w:lang w:val="fr-BE"/>
        </w:rPr>
      </w:pPr>
      <w:r w:rsidRPr="0012737C">
        <w:rPr>
          <w:lang w:val="fr-BE"/>
        </w:rPr>
        <w:t xml:space="preserve">La fraction </w:t>
      </w:r>
      <w:r w:rsidR="00936584" w:rsidRPr="0012737C">
        <w:rPr>
          <w:lang w:val="fr-BE"/>
        </w:rPr>
        <w:t>emballages</w:t>
      </w:r>
      <w:r w:rsidRPr="0012737C">
        <w:rPr>
          <w:lang w:val="fr-BE"/>
        </w:rPr>
        <w:t xml:space="preserve"> </w:t>
      </w:r>
      <w:r w:rsidRPr="0012737C">
        <w:rPr>
          <w:b/>
          <w:lang w:val="fr-BE"/>
        </w:rPr>
        <w:t>P</w:t>
      </w:r>
      <w:r w:rsidRPr="0012737C">
        <w:rPr>
          <w:lang w:val="fr-BE"/>
        </w:rPr>
        <w:t>lastique</w:t>
      </w:r>
      <w:r w:rsidR="00576A89" w:rsidRPr="0012737C">
        <w:rPr>
          <w:lang w:val="fr-BE"/>
        </w:rPr>
        <w:t>s</w:t>
      </w:r>
      <w:r w:rsidRPr="0012737C">
        <w:rPr>
          <w:lang w:val="fr-BE"/>
        </w:rPr>
        <w:t xml:space="preserve">, emballages </w:t>
      </w:r>
      <w:r w:rsidRPr="0012737C">
        <w:rPr>
          <w:b/>
          <w:lang w:val="fr-BE"/>
        </w:rPr>
        <w:t>M</w:t>
      </w:r>
      <w:r w:rsidRPr="0012737C">
        <w:rPr>
          <w:lang w:val="fr-BE"/>
        </w:rPr>
        <w:t xml:space="preserve">étalliques et </w:t>
      </w:r>
      <w:r w:rsidRPr="0012737C">
        <w:rPr>
          <w:b/>
          <w:lang w:val="fr-BE"/>
        </w:rPr>
        <w:t>C</w:t>
      </w:r>
      <w:r w:rsidRPr="0012737C">
        <w:rPr>
          <w:lang w:val="fr-BE"/>
        </w:rPr>
        <w:t>artons à boissons se décrit simplement comme suit :</w:t>
      </w:r>
    </w:p>
    <w:p w14:paraId="397C7EFA" w14:textId="65C7447B" w:rsidR="006B4934" w:rsidRPr="0012737C" w:rsidRDefault="00936584" w:rsidP="00E21963">
      <w:pPr>
        <w:pStyle w:val="Listepuces"/>
      </w:pPr>
      <w:r w:rsidRPr="0012737C">
        <w:t>Emballages</w:t>
      </w:r>
      <w:r w:rsidR="006B4934" w:rsidRPr="0012737C">
        <w:t xml:space="preserve"> </w:t>
      </w:r>
      <w:r w:rsidR="006B4934" w:rsidRPr="0012737C">
        <w:rPr>
          <w:b/>
        </w:rPr>
        <w:t>P</w:t>
      </w:r>
      <w:r w:rsidR="006B4934" w:rsidRPr="0012737C">
        <w:t>lastiques : bouteilles</w:t>
      </w:r>
      <w:r w:rsidRPr="0012737C">
        <w:t>,</w:t>
      </w:r>
      <w:r w:rsidR="006B4934" w:rsidRPr="0012737C">
        <w:t xml:space="preserve"> flacons</w:t>
      </w:r>
      <w:r w:rsidRPr="0012737C">
        <w:t xml:space="preserve">, </w:t>
      </w:r>
      <w:r w:rsidR="00193525" w:rsidRPr="0012737C">
        <w:t xml:space="preserve">pots, </w:t>
      </w:r>
      <w:r w:rsidRPr="0012737C">
        <w:t>barquettes</w:t>
      </w:r>
      <w:r w:rsidR="002E6801" w:rsidRPr="0012737C">
        <w:t xml:space="preserve"> (XPS inclus)</w:t>
      </w:r>
      <w:r w:rsidRPr="0012737C">
        <w:t>,</w:t>
      </w:r>
      <w:r w:rsidR="00554D8E" w:rsidRPr="0012737C">
        <w:t xml:space="preserve"> raviers,</w:t>
      </w:r>
      <w:r w:rsidRPr="0012737C">
        <w:t xml:space="preserve"> films</w:t>
      </w:r>
      <w:r w:rsidR="002E6801" w:rsidRPr="0012737C">
        <w:t xml:space="preserve"> (sac</w:t>
      </w:r>
      <w:r w:rsidR="006E05DE" w:rsidRPr="0012737C">
        <w:t>s</w:t>
      </w:r>
      <w:r w:rsidR="002E6801" w:rsidRPr="0012737C">
        <w:t xml:space="preserve"> de chips avec revêtement couleur alumin</w:t>
      </w:r>
      <w:r w:rsidR="006E05DE" w:rsidRPr="0012737C">
        <w:t>i</w:t>
      </w:r>
      <w:r w:rsidR="002E6801" w:rsidRPr="0012737C">
        <w:t xml:space="preserve">um inclus), </w:t>
      </w:r>
      <w:r w:rsidR="00285B20">
        <w:t xml:space="preserve">et </w:t>
      </w:r>
      <w:r w:rsidR="00E21963" w:rsidRPr="00E21963">
        <w:rPr>
          <w:lang w:val="fr-BE"/>
        </w:rPr>
        <w:t xml:space="preserve">à l'exception des </w:t>
      </w:r>
      <w:r w:rsidR="002E6801" w:rsidRPr="0012737C">
        <w:t xml:space="preserve">emballages en EPS </w:t>
      </w:r>
      <w:r w:rsidR="009D42B0" w:rsidRPr="0012737C">
        <w:rPr>
          <w:szCs w:val="18"/>
          <w:lang w:eastAsia="nl-BE"/>
        </w:rPr>
        <w:t>(non-</w:t>
      </w:r>
      <w:proofErr w:type="spellStart"/>
      <w:r w:rsidR="009D42B0" w:rsidRPr="0012737C">
        <w:rPr>
          <w:szCs w:val="18"/>
          <w:lang w:eastAsia="nl-BE"/>
        </w:rPr>
        <w:t>food</w:t>
      </w:r>
      <w:proofErr w:type="spellEnd"/>
      <w:r w:rsidR="009D42B0" w:rsidRPr="0012737C">
        <w:rPr>
          <w:szCs w:val="18"/>
          <w:lang w:eastAsia="nl-BE"/>
        </w:rPr>
        <w:t xml:space="preserve">) </w:t>
      </w:r>
      <w:r w:rsidR="00E21963">
        <w:t>et d</w:t>
      </w:r>
      <w:r w:rsidR="002E6801" w:rsidRPr="0012737C">
        <w:t>es DSM</w:t>
      </w:r>
      <w:r w:rsidR="006B4934" w:rsidRPr="0012737C">
        <w:t>.</w:t>
      </w:r>
    </w:p>
    <w:p w14:paraId="397C7EFB" w14:textId="514B062F" w:rsidR="006B4934" w:rsidRPr="00C57832" w:rsidRDefault="001532DE" w:rsidP="00344452">
      <w:pPr>
        <w:pStyle w:val="Listepuces"/>
        <w:rPr>
          <w:lang w:val="fr-BE"/>
        </w:rPr>
      </w:pPr>
      <w:r w:rsidRPr="0012737C">
        <w:rPr>
          <w:lang w:val="fr-BE"/>
        </w:rPr>
        <w:t>Emballages</w:t>
      </w:r>
      <w:r w:rsidR="006B4934" w:rsidRPr="0012737C">
        <w:rPr>
          <w:lang w:val="fr-BE"/>
        </w:rPr>
        <w:t xml:space="preserve"> </w:t>
      </w:r>
      <w:r w:rsidR="006B4934" w:rsidRPr="0012737C">
        <w:rPr>
          <w:b/>
          <w:lang w:val="fr-BE"/>
        </w:rPr>
        <w:t>M</w:t>
      </w:r>
      <w:r w:rsidR="006B4934" w:rsidRPr="0012737C">
        <w:rPr>
          <w:lang w:val="fr-BE"/>
        </w:rPr>
        <w:t xml:space="preserve">étalliques : </w:t>
      </w:r>
      <w:r w:rsidR="00936584" w:rsidRPr="0012737C">
        <w:rPr>
          <w:lang w:val="fr-BE"/>
        </w:rPr>
        <w:t xml:space="preserve">boîtes de conserves, cannettes, </w:t>
      </w:r>
      <w:r w:rsidR="00BE3FA6" w:rsidRPr="0012737C">
        <w:rPr>
          <w:lang w:val="fr-BE"/>
        </w:rPr>
        <w:t>aérosols alimentaires et cosmétiques, plats et barquettes en aluminium, couvercles et bouchons</w:t>
      </w:r>
      <w:r w:rsidR="00BE3FA6" w:rsidRPr="00C57832">
        <w:rPr>
          <w:lang w:val="fr-BE"/>
        </w:rPr>
        <w:t xml:space="preserve"> </w:t>
      </w:r>
      <w:r w:rsidR="006D0352">
        <w:rPr>
          <w:lang w:val="fr-BE"/>
        </w:rPr>
        <w:t>métalliques</w:t>
      </w:r>
    </w:p>
    <w:p w14:paraId="397C7EFC" w14:textId="77777777" w:rsidR="006B4934" w:rsidRPr="00C57832" w:rsidRDefault="006B4934" w:rsidP="00344452">
      <w:pPr>
        <w:pStyle w:val="Listepuces"/>
        <w:rPr>
          <w:lang w:val="fr-BE"/>
        </w:rPr>
      </w:pPr>
      <w:r w:rsidRPr="00C57832">
        <w:rPr>
          <w:b/>
          <w:lang w:val="fr-BE"/>
        </w:rPr>
        <w:t>C</w:t>
      </w:r>
      <w:r w:rsidRPr="00C57832">
        <w:rPr>
          <w:lang w:val="fr-BE"/>
        </w:rPr>
        <w:t>artons à boissons : les cartons à boissons sont essentiellement composés de carton, d’une couche de plastique et souvent d’une couche d’aluminium.</w:t>
      </w:r>
    </w:p>
    <w:p w14:paraId="397C7EFD" w14:textId="77777777" w:rsidR="00B20766" w:rsidRPr="00C57832" w:rsidRDefault="00B20766" w:rsidP="00FD4339">
      <w:pPr>
        <w:spacing w:after="0"/>
        <w:rPr>
          <w:lang w:val="fr-BE"/>
        </w:rPr>
      </w:pPr>
    </w:p>
    <w:p w14:paraId="360469EE" w14:textId="269FE2A1" w:rsidR="00193525" w:rsidRPr="0012737C" w:rsidRDefault="00193525" w:rsidP="00193525">
      <w:pPr>
        <w:rPr>
          <w:lang w:val="fr-BE"/>
        </w:rPr>
      </w:pPr>
      <w:r w:rsidRPr="0012737C">
        <w:rPr>
          <w:lang w:val="fr-BE"/>
        </w:rPr>
        <w:t xml:space="preserve">Ces emballages doivent être </w:t>
      </w:r>
      <w:r w:rsidRPr="0012737C">
        <w:rPr>
          <w:rFonts w:cstheme="minorHAnsi"/>
          <w:lang w:val="fr-BE"/>
        </w:rPr>
        <w:t>correctement vidés, égouttés ou raclés</w:t>
      </w:r>
      <w:r w:rsidRPr="0012737C">
        <w:rPr>
          <w:lang w:val="fr-BE"/>
        </w:rPr>
        <w:t xml:space="preserve"> et d’un volume maximum de 8 litres.</w:t>
      </w:r>
    </w:p>
    <w:p w14:paraId="397C7EFF" w14:textId="678E1281" w:rsidR="006B4934" w:rsidRPr="00E03B09" w:rsidRDefault="006B4934" w:rsidP="00BB166A">
      <w:pPr>
        <w:pStyle w:val="Paragraphedeliste"/>
        <w:numPr>
          <w:ilvl w:val="0"/>
          <w:numId w:val="24"/>
        </w:numPr>
        <w:rPr>
          <w:b/>
          <w:lang w:val="fr-BE" w:eastAsia="nl-NL"/>
        </w:rPr>
      </w:pPr>
      <w:bookmarkStart w:id="170" w:name="_Toc200945533"/>
      <w:bookmarkStart w:id="171" w:name="_Toc201025164"/>
      <w:bookmarkStart w:id="172" w:name="_Toc201587471"/>
      <w:bookmarkStart w:id="173" w:name="_Toc513197774"/>
      <w:r w:rsidRPr="00E03B09">
        <w:rPr>
          <w:b/>
          <w:sz w:val="24"/>
          <w:lang w:val="fr-BE" w:eastAsia="nl-NL"/>
        </w:rPr>
        <w:t>Qualité du PMC</w:t>
      </w:r>
      <w:bookmarkEnd w:id="170"/>
      <w:bookmarkEnd w:id="171"/>
      <w:bookmarkEnd w:id="172"/>
      <w:bookmarkEnd w:id="173"/>
      <w:r w:rsidRPr="00E03B09">
        <w:rPr>
          <w:b/>
          <w:sz w:val="24"/>
          <w:lang w:val="fr-BE" w:eastAsia="nl-NL"/>
        </w:rPr>
        <w:t xml:space="preserve"> </w:t>
      </w:r>
    </w:p>
    <w:p w14:paraId="397C7F00" w14:textId="77777777" w:rsidR="00CB126B" w:rsidRPr="00C57832" w:rsidRDefault="00CB126B" w:rsidP="00A13E9A">
      <w:pPr>
        <w:spacing w:before="240"/>
        <w:rPr>
          <w:lang w:val="fr-BE"/>
        </w:rPr>
      </w:pPr>
      <w:r w:rsidRPr="00C57832">
        <w:rPr>
          <w:lang w:val="fr-BE"/>
        </w:rPr>
        <w:t xml:space="preserve">Les exigences en matière de qualité du PMC collecté sont reprises en annexe D du présent cahier des charges.  Le prestataire de services doit tout mettre en œuvre afin de garantir à tout moment la qualité des matériaux. </w:t>
      </w:r>
    </w:p>
    <w:p w14:paraId="397C7F01" w14:textId="11DA4D60" w:rsidR="00AA1596" w:rsidRPr="00C57832" w:rsidRDefault="00CB126B" w:rsidP="00CB126B">
      <w:pPr>
        <w:rPr>
          <w:lang w:val="fr-BE"/>
        </w:rPr>
      </w:pPr>
      <w:r w:rsidRPr="00C57832">
        <w:rPr>
          <w:lang w:val="fr-BE"/>
        </w:rPr>
        <w:t xml:space="preserve">Le prestataire de services tient compte du fait que ces spécifications peuvent changer durant la durée du </w:t>
      </w:r>
      <w:r w:rsidR="005E5746" w:rsidRPr="00C57832">
        <w:rPr>
          <w:lang w:val="fr-BE"/>
        </w:rPr>
        <w:t>Marché</w:t>
      </w:r>
      <w:r w:rsidRPr="00C57832">
        <w:rPr>
          <w:lang w:val="fr-BE"/>
        </w:rPr>
        <w:t xml:space="preserve"> en fonction de l’évolution des conditions techniques ou de l’expérience</w:t>
      </w:r>
      <w:r w:rsidR="00AA1596" w:rsidRPr="00C57832">
        <w:rPr>
          <w:lang w:val="fr-BE"/>
        </w:rPr>
        <w:t xml:space="preserve"> </w:t>
      </w:r>
      <w:r w:rsidR="0043211A" w:rsidRPr="00C57832">
        <w:rPr>
          <w:lang w:val="fr-BE"/>
        </w:rPr>
        <w:t>acquise</w:t>
      </w:r>
      <w:r w:rsidRPr="00C57832">
        <w:rPr>
          <w:lang w:val="fr-BE"/>
        </w:rPr>
        <w:t>.  En cas d’éventuelle modification des spécifications, le pouvoir adjudicateur devra en informer le prestataire de services 3 mois au préalable.</w:t>
      </w:r>
    </w:p>
    <w:p w14:paraId="397C7F02" w14:textId="1D99BCE5" w:rsidR="00810EF4" w:rsidRPr="00C57832" w:rsidRDefault="002119F4" w:rsidP="00CB126B">
      <w:pPr>
        <w:rPr>
          <w:lang w:val="fr-BE"/>
        </w:rPr>
      </w:pPr>
      <w:r w:rsidRPr="00C57832">
        <w:rPr>
          <w:lang w:val="fr-BE"/>
        </w:rPr>
        <w:t xml:space="preserve">Le prestataire de services doit </w:t>
      </w:r>
      <w:r w:rsidR="00751929" w:rsidRPr="00C57832">
        <w:rPr>
          <w:lang w:val="fr-BE"/>
        </w:rPr>
        <w:t xml:space="preserve">donc </w:t>
      </w:r>
      <w:r w:rsidR="006B4934" w:rsidRPr="00C57832">
        <w:rPr>
          <w:lang w:val="fr-BE"/>
        </w:rPr>
        <w:t>garanti</w:t>
      </w:r>
      <w:r w:rsidRPr="00C57832">
        <w:rPr>
          <w:lang w:val="fr-BE"/>
        </w:rPr>
        <w:t>r</w:t>
      </w:r>
      <w:r w:rsidR="006B4934" w:rsidRPr="00C57832">
        <w:rPr>
          <w:lang w:val="fr-BE"/>
        </w:rPr>
        <w:t xml:space="preserve"> à tout moment</w:t>
      </w:r>
      <w:r w:rsidRPr="00C57832">
        <w:rPr>
          <w:lang w:val="fr-BE"/>
        </w:rPr>
        <w:t xml:space="preserve"> la qualité du PMC</w:t>
      </w:r>
      <w:r w:rsidR="00EC3CCB" w:rsidRPr="00C57832">
        <w:rPr>
          <w:lang w:val="fr-BE"/>
        </w:rPr>
        <w:t xml:space="preserve"> collecté</w:t>
      </w:r>
      <w:r w:rsidR="00087A2B" w:rsidRPr="00C57832">
        <w:rPr>
          <w:lang w:val="fr-BE"/>
        </w:rPr>
        <w:t>. Il s’engage à nettoyer régulièrement l’intérieur et l’extérieur d</w:t>
      </w:r>
      <w:r w:rsidR="00B20766" w:rsidRPr="00C57832">
        <w:rPr>
          <w:lang w:val="fr-BE"/>
        </w:rPr>
        <w:t>es</w:t>
      </w:r>
      <w:r w:rsidR="00087A2B" w:rsidRPr="00C57832">
        <w:rPr>
          <w:lang w:val="fr-BE"/>
        </w:rPr>
        <w:t xml:space="preserve"> véhicule</w:t>
      </w:r>
      <w:r w:rsidR="00B20766" w:rsidRPr="00C57832">
        <w:rPr>
          <w:lang w:val="fr-BE"/>
        </w:rPr>
        <w:t>s</w:t>
      </w:r>
      <w:r w:rsidR="00087A2B" w:rsidRPr="00C57832">
        <w:rPr>
          <w:lang w:val="fr-BE"/>
        </w:rPr>
        <w:t xml:space="preserve"> de collecte et </w:t>
      </w:r>
      <w:r w:rsidR="008D5992" w:rsidRPr="00C57832">
        <w:rPr>
          <w:lang w:val="fr-BE"/>
        </w:rPr>
        <w:t xml:space="preserve">veille </w:t>
      </w:r>
      <w:r w:rsidR="00087A2B" w:rsidRPr="00C57832">
        <w:rPr>
          <w:lang w:val="fr-BE"/>
        </w:rPr>
        <w:t xml:space="preserve">à ce que le contenu </w:t>
      </w:r>
      <w:r w:rsidR="008D5992" w:rsidRPr="00C57832">
        <w:rPr>
          <w:lang w:val="fr-BE"/>
        </w:rPr>
        <w:t>de s</w:t>
      </w:r>
      <w:r w:rsidR="00B20766" w:rsidRPr="00C57832">
        <w:rPr>
          <w:lang w:val="fr-BE"/>
        </w:rPr>
        <w:t>es</w:t>
      </w:r>
      <w:r w:rsidR="008D5992" w:rsidRPr="00C57832">
        <w:rPr>
          <w:lang w:val="fr-BE"/>
        </w:rPr>
        <w:t xml:space="preserve"> chargement</w:t>
      </w:r>
      <w:r w:rsidR="00B20766" w:rsidRPr="00C57832">
        <w:rPr>
          <w:lang w:val="fr-BE"/>
        </w:rPr>
        <w:t>s</w:t>
      </w:r>
      <w:r w:rsidR="008D5992" w:rsidRPr="00C57832">
        <w:rPr>
          <w:lang w:val="fr-BE"/>
        </w:rPr>
        <w:t xml:space="preserve"> </w:t>
      </w:r>
      <w:r w:rsidR="00087A2B" w:rsidRPr="00C57832">
        <w:rPr>
          <w:lang w:val="fr-BE"/>
        </w:rPr>
        <w:t xml:space="preserve">soit protégé. </w:t>
      </w:r>
      <w:r w:rsidR="00EC3CCB" w:rsidRPr="00C57832">
        <w:rPr>
          <w:lang w:val="fr-BE"/>
        </w:rPr>
        <w:t xml:space="preserve"> </w:t>
      </w:r>
      <w:r w:rsidR="006B4934" w:rsidRPr="00C57832">
        <w:rPr>
          <w:lang w:val="fr-BE"/>
        </w:rPr>
        <w:t xml:space="preserve"> </w:t>
      </w:r>
    </w:p>
    <w:p w14:paraId="6D71AE80" w14:textId="3F0B65F6" w:rsidR="008D3F0D" w:rsidRPr="00C57832" w:rsidRDefault="001B007C" w:rsidP="008D3F0D">
      <w:pPr>
        <w:pStyle w:val="Listenumros"/>
        <w:rPr>
          <w:highlight w:val="yellow"/>
          <w:lang w:val="fr-BE"/>
        </w:rPr>
      </w:pPr>
      <w:r w:rsidRPr="00C57832">
        <w:rPr>
          <w:highlight w:val="yellow"/>
          <w:lang w:val="fr-BE"/>
        </w:rPr>
        <w:t>La disposition ci-dessous (en italique) peut entrer en vigueur au plus tôt le 1</w:t>
      </w:r>
      <w:r w:rsidRPr="00C57832">
        <w:rPr>
          <w:highlight w:val="yellow"/>
          <w:vertAlign w:val="superscript"/>
          <w:lang w:val="fr-BE"/>
        </w:rPr>
        <w:t>er</w:t>
      </w:r>
      <w:r w:rsidRPr="00C57832">
        <w:rPr>
          <w:highlight w:val="yellow"/>
          <w:lang w:val="fr-BE"/>
        </w:rPr>
        <w:t xml:space="preserve"> juin 2021, après avis positif du Comité </w:t>
      </w:r>
      <w:r w:rsidR="00505355" w:rsidRPr="00C57832">
        <w:rPr>
          <w:highlight w:val="yellow"/>
          <w:lang w:val="fr-BE"/>
        </w:rPr>
        <w:t>mixte</w:t>
      </w:r>
      <w:r w:rsidR="004C6BB3">
        <w:rPr>
          <w:rStyle w:val="Appelnotedebasdep"/>
          <w:highlight w:val="yellow"/>
          <w:lang w:val="fr-BE"/>
        </w:rPr>
        <w:footnoteReference w:id="19"/>
      </w:r>
      <w:r w:rsidR="00505355" w:rsidRPr="00C57832">
        <w:rPr>
          <w:highlight w:val="yellow"/>
          <w:lang w:val="fr-BE"/>
        </w:rPr>
        <w:t xml:space="preserve"> :</w:t>
      </w:r>
    </w:p>
    <w:p w14:paraId="77EA3B0F" w14:textId="77777777" w:rsidR="008D3F0D" w:rsidRPr="00C57832" w:rsidRDefault="008D3F0D">
      <w:pPr>
        <w:rPr>
          <w:highlight w:val="cyan"/>
          <w:lang w:val="fr-BE"/>
        </w:rPr>
      </w:pPr>
    </w:p>
    <w:p w14:paraId="41C3F522" w14:textId="2462A896" w:rsidR="002C08F7" w:rsidRPr="00C57832" w:rsidRDefault="00C32F25">
      <w:pPr>
        <w:rPr>
          <w:i/>
          <w:lang w:val="fr-BE"/>
        </w:rPr>
      </w:pPr>
      <w:r w:rsidRPr="00C57832">
        <w:rPr>
          <w:i/>
          <w:lang w:val="fr-BE"/>
        </w:rPr>
        <w:t xml:space="preserve">Le prestataire de services </w:t>
      </w:r>
      <w:r w:rsidR="002119F4" w:rsidRPr="00C57832">
        <w:rPr>
          <w:i/>
          <w:lang w:val="fr-BE"/>
        </w:rPr>
        <w:t xml:space="preserve">doit </w:t>
      </w:r>
      <w:r w:rsidR="006B4934" w:rsidRPr="00C57832">
        <w:rPr>
          <w:i/>
          <w:lang w:val="fr-BE"/>
        </w:rPr>
        <w:t xml:space="preserve">refuser </w:t>
      </w:r>
      <w:r w:rsidRPr="00C57832">
        <w:rPr>
          <w:i/>
          <w:lang w:val="fr-BE"/>
        </w:rPr>
        <w:t>les sacs</w:t>
      </w:r>
      <w:r w:rsidR="006B4934" w:rsidRPr="00C57832">
        <w:rPr>
          <w:i/>
          <w:lang w:val="fr-BE"/>
        </w:rPr>
        <w:t xml:space="preserve"> non</w:t>
      </w:r>
      <w:r w:rsidR="00810EF4" w:rsidRPr="00C57832">
        <w:rPr>
          <w:i/>
          <w:lang w:val="fr-BE"/>
        </w:rPr>
        <w:t>-</w:t>
      </w:r>
      <w:r w:rsidR="006B4934" w:rsidRPr="00C57832">
        <w:rPr>
          <w:i/>
          <w:lang w:val="fr-BE"/>
        </w:rPr>
        <w:t xml:space="preserve">conformes. La non-conformité est déterminée sur base des indications suivantes : </w:t>
      </w:r>
    </w:p>
    <w:p w14:paraId="397C7F04" w14:textId="736BA1EF" w:rsidR="00681B3E" w:rsidRPr="0012737C" w:rsidRDefault="002C08F7" w:rsidP="00451860">
      <w:pPr>
        <w:numPr>
          <w:ilvl w:val="0"/>
          <w:numId w:val="5"/>
        </w:numPr>
        <w:rPr>
          <w:i/>
          <w:lang w:val="fr-BE"/>
        </w:rPr>
      </w:pPr>
      <w:r w:rsidRPr="00C57832">
        <w:rPr>
          <w:i/>
          <w:lang w:val="fr-BE"/>
        </w:rPr>
        <w:t>C</w:t>
      </w:r>
      <w:r w:rsidR="00EF7C1B" w:rsidRPr="00C57832">
        <w:rPr>
          <w:i/>
          <w:lang w:val="fr-BE"/>
        </w:rPr>
        <w:t xml:space="preserve">ontenu </w:t>
      </w:r>
      <w:r w:rsidR="002E6801" w:rsidRPr="00C57832">
        <w:rPr>
          <w:i/>
          <w:lang w:val="fr-BE"/>
        </w:rPr>
        <w:t xml:space="preserve">du sac ou </w:t>
      </w:r>
      <w:r w:rsidR="00EF7C1B" w:rsidRPr="00C57832">
        <w:rPr>
          <w:i/>
          <w:lang w:val="fr-BE"/>
        </w:rPr>
        <w:t>du conteneur 1100 litres</w:t>
      </w:r>
      <w:r w:rsidR="001532DE" w:rsidRPr="00C57832">
        <w:rPr>
          <w:i/>
          <w:lang w:val="fr-BE"/>
        </w:rPr>
        <w:t xml:space="preserve"> </w:t>
      </w:r>
      <w:r w:rsidR="006B4934" w:rsidRPr="00C57832">
        <w:rPr>
          <w:i/>
          <w:lang w:val="fr-BE"/>
        </w:rPr>
        <w:t>(en un coup d’œil) : présence d</w:t>
      </w:r>
      <w:r w:rsidR="00C51091" w:rsidRPr="00C57832">
        <w:rPr>
          <w:i/>
          <w:lang w:val="fr-BE"/>
        </w:rPr>
        <w:t>’</w:t>
      </w:r>
      <w:r w:rsidR="006B4934" w:rsidRPr="00C57832">
        <w:rPr>
          <w:i/>
          <w:lang w:val="fr-BE"/>
        </w:rPr>
        <w:t xml:space="preserve">un ou </w:t>
      </w:r>
      <w:r w:rsidR="00C51091" w:rsidRPr="00C57832">
        <w:rPr>
          <w:i/>
          <w:lang w:val="fr-BE"/>
        </w:rPr>
        <w:t xml:space="preserve">de </w:t>
      </w:r>
      <w:r w:rsidR="006B4934" w:rsidRPr="00C57832">
        <w:rPr>
          <w:i/>
          <w:lang w:val="fr-BE"/>
        </w:rPr>
        <w:t>plusieurs produits non conformes (emballages ou non)</w:t>
      </w:r>
      <w:r w:rsidR="002E6801" w:rsidRPr="00C57832">
        <w:rPr>
          <w:i/>
          <w:lang w:val="fr-BE"/>
        </w:rPr>
        <w:t xml:space="preserve"> </w:t>
      </w:r>
      <w:r w:rsidR="00552BB0" w:rsidRPr="00C57832">
        <w:rPr>
          <w:rFonts w:eastAsia="Times New Roman"/>
          <w:i/>
          <w:szCs w:val="18"/>
          <w:lang w:val="fr-BE" w:eastAsia="nl-NL"/>
        </w:rPr>
        <w:t>qui peuvent être dangereux pour les trieurs ou gêner le processus de tri</w:t>
      </w:r>
      <w:r w:rsidR="002A730C" w:rsidRPr="00C57832">
        <w:rPr>
          <w:rFonts w:eastAsia="Times New Roman"/>
          <w:i/>
          <w:szCs w:val="18"/>
          <w:lang w:val="fr-BE" w:eastAsia="nl-NL"/>
        </w:rPr>
        <w:t xml:space="preserve"> </w:t>
      </w:r>
      <w:r w:rsidRPr="00C57832">
        <w:rPr>
          <w:rFonts w:eastAsia="Times New Roman"/>
          <w:i/>
          <w:szCs w:val="18"/>
          <w:lang w:val="fr-BE" w:eastAsia="nl-NL"/>
        </w:rPr>
        <w:t>;</w:t>
      </w:r>
      <w:r w:rsidR="002A730C" w:rsidRPr="00C57832">
        <w:rPr>
          <w:rFonts w:eastAsia="Times New Roman"/>
          <w:i/>
          <w:szCs w:val="18"/>
          <w:lang w:val="fr-BE" w:eastAsia="nl-NL"/>
        </w:rPr>
        <w:t xml:space="preserve"> nous </w:t>
      </w:r>
      <w:r w:rsidR="00C51091" w:rsidRPr="00C57832">
        <w:rPr>
          <w:rFonts w:eastAsia="Times New Roman"/>
          <w:i/>
          <w:szCs w:val="18"/>
          <w:lang w:val="fr-BE" w:eastAsia="nl-NL"/>
        </w:rPr>
        <w:t xml:space="preserve">les </w:t>
      </w:r>
      <w:r w:rsidR="002A730C" w:rsidRPr="00C57832">
        <w:rPr>
          <w:rFonts w:eastAsia="Times New Roman"/>
          <w:i/>
          <w:szCs w:val="18"/>
          <w:lang w:val="fr-BE" w:eastAsia="nl-NL"/>
        </w:rPr>
        <w:t>appelons « fautes graves »</w:t>
      </w:r>
      <w:r w:rsidRPr="00C57832">
        <w:rPr>
          <w:rFonts w:eastAsia="Times New Roman"/>
          <w:i/>
          <w:szCs w:val="18"/>
          <w:lang w:val="fr-BE" w:eastAsia="nl-NL"/>
        </w:rPr>
        <w:t xml:space="preserve"> (</w:t>
      </w:r>
      <w:r w:rsidR="002A730C" w:rsidRPr="00C57832">
        <w:rPr>
          <w:rFonts w:eastAsia="Times New Roman"/>
          <w:i/>
          <w:szCs w:val="18"/>
          <w:lang w:val="fr-BE" w:eastAsia="nl-NL"/>
        </w:rPr>
        <w:t>voir aussi « sacs</w:t>
      </w:r>
      <w:r w:rsidRPr="00C57832">
        <w:rPr>
          <w:rFonts w:eastAsia="Times New Roman"/>
          <w:i/>
          <w:szCs w:val="18"/>
          <w:lang w:val="fr-BE" w:eastAsia="nl-NL"/>
        </w:rPr>
        <w:t xml:space="preserve"> </w:t>
      </w:r>
      <w:r w:rsidR="002A730C" w:rsidRPr="00C57832">
        <w:rPr>
          <w:rFonts w:eastAsia="Times New Roman"/>
          <w:i/>
          <w:szCs w:val="18"/>
          <w:lang w:val="fr-BE" w:eastAsia="nl-NL"/>
        </w:rPr>
        <w:t>de</w:t>
      </w:r>
      <w:r w:rsidRPr="00C57832">
        <w:rPr>
          <w:rFonts w:eastAsia="Times New Roman"/>
          <w:i/>
          <w:szCs w:val="18"/>
          <w:lang w:val="fr-BE" w:eastAsia="nl-NL"/>
        </w:rPr>
        <w:t xml:space="preserve"> </w:t>
      </w:r>
      <w:r w:rsidR="002A730C" w:rsidRPr="00C57832">
        <w:rPr>
          <w:rFonts w:eastAsia="Times New Roman"/>
          <w:i/>
          <w:szCs w:val="18"/>
          <w:lang w:val="fr-BE" w:eastAsia="nl-NL"/>
        </w:rPr>
        <w:t>catégorie</w:t>
      </w:r>
      <w:r w:rsidRPr="00C57832">
        <w:rPr>
          <w:rFonts w:eastAsia="Times New Roman"/>
          <w:i/>
          <w:szCs w:val="18"/>
          <w:lang w:val="fr-BE" w:eastAsia="nl-NL"/>
        </w:rPr>
        <w:t xml:space="preserve"> 2</w:t>
      </w:r>
      <w:r w:rsidR="002A730C" w:rsidRPr="00C57832">
        <w:rPr>
          <w:rFonts w:eastAsia="Times New Roman"/>
          <w:i/>
          <w:szCs w:val="18"/>
          <w:lang w:val="fr-BE" w:eastAsia="nl-NL"/>
        </w:rPr>
        <w:t> »</w:t>
      </w:r>
      <w:r w:rsidRPr="00C57832">
        <w:rPr>
          <w:rFonts w:eastAsia="Times New Roman"/>
          <w:i/>
          <w:szCs w:val="18"/>
          <w:lang w:val="fr-BE" w:eastAsia="nl-NL"/>
        </w:rPr>
        <w:t xml:space="preserve">, </w:t>
      </w:r>
      <w:proofErr w:type="spellStart"/>
      <w:r w:rsidRPr="00C57832">
        <w:rPr>
          <w:rFonts w:eastAsia="Times New Roman"/>
          <w:i/>
          <w:szCs w:val="18"/>
          <w:lang w:val="fr-BE" w:eastAsia="nl-NL"/>
        </w:rPr>
        <w:t>cfr</w:t>
      </w:r>
      <w:proofErr w:type="spellEnd"/>
      <w:r w:rsidRPr="00C57832">
        <w:rPr>
          <w:rFonts w:eastAsia="Times New Roman"/>
          <w:i/>
          <w:szCs w:val="18"/>
          <w:lang w:val="fr-BE" w:eastAsia="nl-NL"/>
        </w:rPr>
        <w:t>.</w:t>
      </w:r>
      <w:r w:rsidR="002A730C" w:rsidRPr="00C57832">
        <w:rPr>
          <w:rFonts w:eastAsia="Times New Roman"/>
          <w:i/>
          <w:szCs w:val="18"/>
          <w:lang w:val="fr-BE" w:eastAsia="nl-NL"/>
        </w:rPr>
        <w:t xml:space="preserve"> </w:t>
      </w:r>
      <w:proofErr w:type="gramStart"/>
      <w:r w:rsidRPr="0012737C">
        <w:rPr>
          <w:rFonts w:eastAsia="Times New Roman"/>
          <w:i/>
          <w:szCs w:val="18"/>
          <w:lang w:val="fr-BE" w:eastAsia="nl-NL"/>
        </w:rPr>
        <w:t>a</w:t>
      </w:r>
      <w:r w:rsidR="002A730C" w:rsidRPr="0012737C">
        <w:rPr>
          <w:rFonts w:eastAsia="Times New Roman"/>
          <w:i/>
          <w:szCs w:val="18"/>
          <w:lang w:val="fr-BE" w:eastAsia="nl-NL"/>
        </w:rPr>
        <w:t>nnex</w:t>
      </w:r>
      <w:r w:rsidRPr="0012737C">
        <w:rPr>
          <w:rFonts w:eastAsia="Times New Roman"/>
          <w:i/>
          <w:szCs w:val="18"/>
          <w:lang w:val="fr-BE" w:eastAsia="nl-NL"/>
        </w:rPr>
        <w:t>e</w:t>
      </w:r>
      <w:proofErr w:type="gramEnd"/>
      <w:r w:rsidRPr="0012737C">
        <w:rPr>
          <w:rFonts w:eastAsia="Times New Roman"/>
          <w:i/>
          <w:szCs w:val="18"/>
          <w:lang w:val="fr-BE" w:eastAsia="nl-NL"/>
        </w:rPr>
        <w:t xml:space="preserve"> D)</w:t>
      </w:r>
      <w:r w:rsidR="006B4934" w:rsidRPr="0012737C">
        <w:rPr>
          <w:i/>
          <w:lang w:val="fr-BE"/>
        </w:rPr>
        <w:t>. Les exigences en matière de qualité des PMC sont jointes à l’annexe D du présent cahier des charges.</w:t>
      </w:r>
    </w:p>
    <w:p w14:paraId="31A488A6" w14:textId="1865A172" w:rsidR="002E6801" w:rsidRPr="0012737C" w:rsidRDefault="002E6801" w:rsidP="00451860">
      <w:pPr>
        <w:numPr>
          <w:ilvl w:val="0"/>
          <w:numId w:val="5"/>
        </w:numPr>
        <w:rPr>
          <w:i/>
          <w:lang w:val="fr-BE"/>
        </w:rPr>
      </w:pPr>
      <w:r w:rsidRPr="0012737C">
        <w:rPr>
          <w:i/>
          <w:lang w:val="fr-BE"/>
        </w:rPr>
        <w:t>Aspect du sac : Sac avec un objet accroché au cordon de fermeture</w:t>
      </w:r>
    </w:p>
    <w:p w14:paraId="693FD9A3" w14:textId="33AC57A6" w:rsidR="002E6801" w:rsidRPr="00C57832" w:rsidRDefault="002E6801" w:rsidP="002E6801">
      <w:pPr>
        <w:numPr>
          <w:ilvl w:val="0"/>
          <w:numId w:val="5"/>
        </w:numPr>
        <w:rPr>
          <w:i/>
          <w:lang w:val="fr-BE"/>
        </w:rPr>
      </w:pPr>
      <w:r w:rsidRPr="00C57832">
        <w:rPr>
          <w:i/>
          <w:lang w:val="fr-BE"/>
        </w:rPr>
        <w:t xml:space="preserve">Type de sac : seuls sont acceptés les sacs PMC bleus transparents avec le logo de </w:t>
      </w:r>
      <w:proofErr w:type="spellStart"/>
      <w:r w:rsidRPr="00C57832">
        <w:rPr>
          <w:i/>
          <w:lang w:val="fr-BE"/>
        </w:rPr>
        <w:t>Fost</w:t>
      </w:r>
      <w:proofErr w:type="spellEnd"/>
      <w:r w:rsidRPr="00C57832">
        <w:rPr>
          <w:i/>
          <w:lang w:val="fr-BE"/>
        </w:rPr>
        <w:t xml:space="preserve"> Plus. Les sacs bleus PMC sans le logo du pouvoir adjudicateur ne sont pas refusés si leur contenu est correct (</w:t>
      </w:r>
      <w:r w:rsidR="00252680" w:rsidRPr="00C57832">
        <w:rPr>
          <w:i/>
          <w:lang w:val="fr-BE"/>
        </w:rPr>
        <w:t>cf.</w:t>
      </w:r>
      <w:r w:rsidRPr="00C57832">
        <w:rPr>
          <w:i/>
          <w:lang w:val="fr-BE"/>
        </w:rPr>
        <w:t xml:space="preserve"> point 1 et 2).</w:t>
      </w:r>
    </w:p>
    <w:p w14:paraId="397C7F05" w14:textId="77777777" w:rsidR="00681B3E" w:rsidRPr="00C57832" w:rsidRDefault="006B4934" w:rsidP="00451860">
      <w:pPr>
        <w:numPr>
          <w:ilvl w:val="0"/>
          <w:numId w:val="5"/>
        </w:numPr>
        <w:rPr>
          <w:i/>
          <w:lang w:val="fr-BE"/>
        </w:rPr>
      </w:pPr>
      <w:r w:rsidRPr="00C57832">
        <w:rPr>
          <w:i/>
          <w:lang w:val="fr-BE"/>
        </w:rPr>
        <w:t>Poids du sac (moyenne pour un sac conforme : 2 kg) : si le poids est excessif, un contrôle supplémentaire sera effectué.</w:t>
      </w:r>
    </w:p>
    <w:p w14:paraId="397C7F07" w14:textId="5B4EB1B6" w:rsidR="006B4934" w:rsidRPr="00C57832" w:rsidRDefault="006B4934">
      <w:pPr>
        <w:rPr>
          <w:i/>
          <w:lang w:val="fr-BE"/>
        </w:rPr>
      </w:pPr>
      <w:r w:rsidRPr="00C57832">
        <w:rPr>
          <w:i/>
          <w:lang w:val="fr-BE"/>
        </w:rPr>
        <w:t xml:space="preserve">Dans le cadre de la collecte en </w:t>
      </w:r>
      <w:proofErr w:type="spellStart"/>
      <w:r w:rsidR="00872188" w:rsidRPr="00C57832">
        <w:rPr>
          <w:i/>
          <w:lang w:val="fr-BE"/>
        </w:rPr>
        <w:t>recyparc</w:t>
      </w:r>
      <w:proofErr w:type="spellEnd"/>
      <w:r w:rsidRPr="00C57832">
        <w:rPr>
          <w:i/>
          <w:lang w:val="fr-BE"/>
        </w:rPr>
        <w:t>, le prestataire de services doit inspecter visuellement le conten</w:t>
      </w:r>
      <w:r w:rsidR="00CA6AE6" w:rsidRPr="00C57832">
        <w:rPr>
          <w:i/>
          <w:lang w:val="fr-BE"/>
        </w:rPr>
        <w:t xml:space="preserve">u du conteneur </w:t>
      </w:r>
      <w:r w:rsidRPr="00C57832">
        <w:rPr>
          <w:i/>
          <w:lang w:val="fr-BE"/>
        </w:rPr>
        <w:t>PMC avant de le charger. S’il constate que le PMC ne satisfait pas aux exigences de qualité reprises en annexe D, il doit en informer directement le préposé d</w:t>
      </w:r>
      <w:r w:rsidR="00CA6AE6" w:rsidRPr="00C57832">
        <w:rPr>
          <w:i/>
          <w:lang w:val="fr-BE"/>
        </w:rPr>
        <w:t>u</w:t>
      </w:r>
      <w:r w:rsidRPr="00C57832">
        <w:rPr>
          <w:i/>
          <w:lang w:val="fr-BE"/>
        </w:rPr>
        <w:t xml:space="preserve"> parc à conteneur ainsi que le centre de tri/station de transfert à son arrivée.</w:t>
      </w:r>
    </w:p>
    <w:p w14:paraId="2BE37792" w14:textId="21F60819" w:rsidR="0041094F" w:rsidRPr="0012737C" w:rsidRDefault="00821EBC" w:rsidP="0041094F">
      <w:pPr>
        <w:rPr>
          <w:i/>
          <w:lang w:val="fr-BE"/>
        </w:rPr>
      </w:pPr>
      <w:r w:rsidRPr="00C57832">
        <w:rPr>
          <w:i/>
          <w:lang w:val="fr-BE"/>
        </w:rPr>
        <w:t xml:space="preserve">Dans le cadre de la collecte en porte-à-porte et en </w:t>
      </w:r>
      <w:r w:rsidR="006B4934" w:rsidRPr="00C57832">
        <w:rPr>
          <w:i/>
          <w:lang w:val="fr-BE"/>
        </w:rPr>
        <w:t>cas de refus d’un sac</w:t>
      </w:r>
      <w:r w:rsidR="009F505D" w:rsidRPr="00C57832">
        <w:rPr>
          <w:i/>
          <w:lang w:val="fr-BE"/>
        </w:rPr>
        <w:t xml:space="preserve"> ou </w:t>
      </w:r>
      <w:r w:rsidR="00E629CE" w:rsidRPr="00C57832">
        <w:rPr>
          <w:i/>
          <w:lang w:val="fr-BE"/>
        </w:rPr>
        <w:t xml:space="preserve">d’un </w:t>
      </w:r>
      <w:r w:rsidR="009F505D" w:rsidRPr="00C57832">
        <w:rPr>
          <w:i/>
          <w:lang w:val="fr-BE"/>
        </w:rPr>
        <w:t>conteneur</w:t>
      </w:r>
      <w:r w:rsidR="006B4934" w:rsidRPr="00C57832">
        <w:rPr>
          <w:i/>
          <w:lang w:val="fr-BE"/>
        </w:rPr>
        <w:t xml:space="preserve"> non conforme, le prestataire de services doit</w:t>
      </w:r>
      <w:r w:rsidR="00142932" w:rsidRPr="00C57832">
        <w:rPr>
          <w:i/>
          <w:lang w:val="fr-BE"/>
        </w:rPr>
        <w:t xml:space="preserve"> </w:t>
      </w:r>
      <w:r w:rsidR="009F505D" w:rsidRPr="00C57832">
        <w:rPr>
          <w:i/>
          <w:lang w:val="fr-BE"/>
        </w:rPr>
        <w:t xml:space="preserve">y </w:t>
      </w:r>
      <w:r w:rsidR="006B4934" w:rsidRPr="00C57832">
        <w:rPr>
          <w:i/>
          <w:lang w:val="fr-BE"/>
        </w:rPr>
        <w:t xml:space="preserve">apposer un autocollant </w:t>
      </w:r>
      <w:r w:rsidR="00554D8E" w:rsidRPr="00C57832">
        <w:rPr>
          <w:i/>
          <w:lang w:val="fr-BE"/>
        </w:rPr>
        <w:t>de refus</w:t>
      </w:r>
      <w:r w:rsidR="006B4934" w:rsidRPr="00C57832">
        <w:rPr>
          <w:i/>
          <w:lang w:val="fr-BE"/>
        </w:rPr>
        <w:t xml:space="preserve">. </w:t>
      </w:r>
      <w:r w:rsidR="00444246" w:rsidRPr="00C57832">
        <w:rPr>
          <w:i/>
          <w:lang w:val="fr-BE"/>
        </w:rPr>
        <w:t>Un autocollant de refus n’est pas apposé lorsque le sac ne contient que quelques petites fautes</w:t>
      </w:r>
      <w:r w:rsidR="0041094F" w:rsidRPr="00C57832">
        <w:rPr>
          <w:i/>
          <w:lang w:val="fr-BE"/>
        </w:rPr>
        <w:t>,</w:t>
      </w:r>
      <w:r w:rsidR="00444246" w:rsidRPr="00C57832">
        <w:rPr>
          <w:i/>
          <w:lang w:val="fr-BE"/>
        </w:rPr>
        <w:t xml:space="preserve"> </w:t>
      </w:r>
      <w:r w:rsidR="00444246" w:rsidRPr="0012737C">
        <w:rPr>
          <w:i/>
          <w:lang w:val="fr-BE"/>
        </w:rPr>
        <w:t xml:space="preserve">qui ne peuvent </w:t>
      </w:r>
      <w:r w:rsidR="00444246" w:rsidRPr="0012737C">
        <w:rPr>
          <w:rFonts w:eastAsia="Times New Roman"/>
          <w:i/>
          <w:szCs w:val="18"/>
          <w:lang w:val="fr-BE" w:eastAsia="nl-NL"/>
        </w:rPr>
        <w:t>gêner le processus de tri</w:t>
      </w:r>
      <w:r w:rsidR="0041094F" w:rsidRPr="0012737C">
        <w:rPr>
          <w:i/>
          <w:lang w:val="fr-BE"/>
        </w:rPr>
        <w:t xml:space="preserve">. </w:t>
      </w:r>
      <w:r w:rsidR="00C10AA3" w:rsidRPr="0012737C">
        <w:rPr>
          <w:i/>
          <w:lang w:val="fr-BE"/>
        </w:rPr>
        <w:t xml:space="preserve">Les non-emballages susceptibles d’être considérés comme </w:t>
      </w:r>
      <w:r w:rsidR="00315DD4" w:rsidRPr="0012737C">
        <w:rPr>
          <w:i/>
          <w:lang w:val="fr-BE"/>
        </w:rPr>
        <w:t>un</w:t>
      </w:r>
      <w:r w:rsidR="00C10AA3" w:rsidRPr="0012737C">
        <w:rPr>
          <w:i/>
          <w:lang w:val="fr-BE"/>
        </w:rPr>
        <w:t xml:space="preserve"> emballage par un citoyen lambda (par ex. boîte à tartines, </w:t>
      </w:r>
      <w:proofErr w:type="spellStart"/>
      <w:r w:rsidR="00C10AA3" w:rsidRPr="0012737C">
        <w:rPr>
          <w:i/>
          <w:lang w:val="fr-BE"/>
        </w:rPr>
        <w:t>tupperware</w:t>
      </w:r>
      <w:proofErr w:type="spellEnd"/>
      <w:r w:rsidR="00C10AA3" w:rsidRPr="0012737C">
        <w:rPr>
          <w:i/>
          <w:lang w:val="fr-BE"/>
        </w:rPr>
        <w:t xml:space="preserve">) ne sont jamais </w:t>
      </w:r>
      <w:r w:rsidR="00C51091" w:rsidRPr="0012737C">
        <w:rPr>
          <w:i/>
          <w:lang w:val="fr-BE"/>
        </w:rPr>
        <w:t>not</w:t>
      </w:r>
      <w:r w:rsidR="00C10AA3" w:rsidRPr="0012737C">
        <w:rPr>
          <w:i/>
          <w:lang w:val="fr-BE"/>
        </w:rPr>
        <w:t>és comme faute</w:t>
      </w:r>
      <w:r w:rsidR="00AD1584" w:rsidRPr="0012737C">
        <w:rPr>
          <w:i/>
          <w:lang w:val="fr-BE"/>
        </w:rPr>
        <w:t>/erreur</w:t>
      </w:r>
      <w:r w:rsidR="0041094F" w:rsidRPr="0012737C">
        <w:rPr>
          <w:i/>
          <w:lang w:val="fr-BE"/>
        </w:rPr>
        <w:t xml:space="preserve">. </w:t>
      </w:r>
    </w:p>
    <w:p w14:paraId="397C7F08" w14:textId="7C014A8A" w:rsidR="008D5992" w:rsidRPr="00C57832" w:rsidRDefault="006B4934">
      <w:pPr>
        <w:rPr>
          <w:i/>
          <w:lang w:val="fr-BE"/>
        </w:rPr>
      </w:pPr>
      <w:r w:rsidRPr="0012737C">
        <w:rPr>
          <w:i/>
          <w:lang w:val="fr-BE"/>
        </w:rPr>
        <w:t xml:space="preserve">Ces autocollants seront mis à la disposition du prestataire de </w:t>
      </w:r>
      <w:r w:rsidR="001532DE" w:rsidRPr="0012737C">
        <w:rPr>
          <w:i/>
          <w:lang w:val="fr-BE"/>
        </w:rPr>
        <w:t>services par</w:t>
      </w:r>
      <w:r w:rsidRPr="0012737C">
        <w:rPr>
          <w:i/>
          <w:lang w:val="fr-BE"/>
        </w:rPr>
        <w:t xml:space="preserve"> le pouvoir adjudicateur</w:t>
      </w:r>
      <w:r w:rsidRPr="00C57832">
        <w:rPr>
          <w:i/>
          <w:lang w:val="fr-BE"/>
        </w:rPr>
        <w:t xml:space="preserve"> et devront se trouver </w:t>
      </w:r>
      <w:r w:rsidR="00046AD9" w:rsidRPr="00C57832">
        <w:rPr>
          <w:i/>
          <w:lang w:val="fr-BE"/>
        </w:rPr>
        <w:t xml:space="preserve">en permanence et en quantité suffisante </w:t>
      </w:r>
      <w:r w:rsidRPr="00C57832">
        <w:rPr>
          <w:i/>
          <w:lang w:val="fr-BE"/>
        </w:rPr>
        <w:t xml:space="preserve">dans le camion de collecte lors des tournées. </w:t>
      </w:r>
      <w:r w:rsidR="00AF11E5" w:rsidRPr="00C57832">
        <w:rPr>
          <w:i/>
          <w:lang w:val="fr-BE"/>
        </w:rPr>
        <w:t xml:space="preserve"> </w:t>
      </w:r>
      <w:r w:rsidR="00E03C1A" w:rsidRPr="00C57832">
        <w:rPr>
          <w:i/>
          <w:lang w:val="fr-BE"/>
        </w:rPr>
        <w:t xml:space="preserve">Le prestataire de services </w:t>
      </w:r>
      <w:r w:rsidR="008D5992" w:rsidRPr="00C57832">
        <w:rPr>
          <w:i/>
          <w:lang w:val="fr-BE"/>
        </w:rPr>
        <w:t xml:space="preserve">doit être en mesure de communiquer au pouvoir adjudicateur le nombre d’autocollants apposés par tournée de collecte. </w:t>
      </w:r>
      <w:r w:rsidR="00101C0B" w:rsidRPr="00C57832">
        <w:rPr>
          <w:i/>
          <w:lang w:val="fr-BE"/>
        </w:rPr>
        <w:t xml:space="preserve">De la même manière, le prestataire de </w:t>
      </w:r>
      <w:r w:rsidR="00101C0B" w:rsidRPr="00C57832">
        <w:rPr>
          <w:i/>
          <w:lang w:val="fr-BE"/>
        </w:rPr>
        <w:lastRenderedPageBreak/>
        <w:t xml:space="preserve">services communiquera au pouvoir adjudicateur les zones où des problèmes de qualité du PMC ou de manière systématique et répétée des sacs </w:t>
      </w:r>
      <w:r w:rsidR="0068316B" w:rsidRPr="00C57832">
        <w:rPr>
          <w:i/>
          <w:lang w:val="fr-BE"/>
        </w:rPr>
        <w:t xml:space="preserve">sans </w:t>
      </w:r>
      <w:r w:rsidR="00101C0B" w:rsidRPr="00C57832">
        <w:rPr>
          <w:i/>
          <w:lang w:val="fr-BE"/>
        </w:rPr>
        <w:t>logo du pouvoir adjudicateur sont constatés</w:t>
      </w:r>
      <w:r w:rsidR="00526085" w:rsidRPr="00C57832">
        <w:rPr>
          <w:i/>
          <w:lang w:val="fr-BE"/>
        </w:rPr>
        <w:t>.</w:t>
      </w:r>
    </w:p>
    <w:p w14:paraId="397C7F09" w14:textId="4A1ACE5E" w:rsidR="006B4934" w:rsidRPr="00C57832" w:rsidRDefault="006B4934">
      <w:pPr>
        <w:rPr>
          <w:i/>
          <w:lang w:val="fr-BE"/>
        </w:rPr>
      </w:pPr>
      <w:r w:rsidRPr="00C57832">
        <w:rPr>
          <w:i/>
          <w:lang w:val="fr-BE"/>
        </w:rPr>
        <w:t xml:space="preserve">S'il est constaté que les PMC </w:t>
      </w:r>
      <w:r w:rsidR="00751929" w:rsidRPr="00C57832">
        <w:rPr>
          <w:i/>
          <w:lang w:val="fr-BE"/>
        </w:rPr>
        <w:t>dé</w:t>
      </w:r>
      <w:r w:rsidR="00CA6AE6" w:rsidRPr="00C57832">
        <w:rPr>
          <w:i/>
          <w:lang w:val="fr-BE"/>
        </w:rPr>
        <w:t xml:space="preserve">versés au centre de </w:t>
      </w:r>
      <w:r w:rsidR="008D3542" w:rsidRPr="00C57832">
        <w:rPr>
          <w:i/>
          <w:lang w:val="fr-BE"/>
        </w:rPr>
        <w:t>tri (ou la station de transfert</w:t>
      </w:r>
      <w:r w:rsidR="00CA6AE6" w:rsidRPr="00C57832">
        <w:rPr>
          <w:i/>
          <w:lang w:val="fr-BE"/>
        </w:rPr>
        <w:t xml:space="preserve">) </w:t>
      </w:r>
      <w:r w:rsidRPr="00C57832">
        <w:rPr>
          <w:i/>
          <w:lang w:val="fr-BE"/>
        </w:rPr>
        <w:t>ne satisfont pas aux règles de tri du citoyen reprises à l'annexe D, le centre de tri (ou la station de transfert</w:t>
      </w:r>
      <w:r w:rsidR="00751929" w:rsidRPr="00C57832">
        <w:rPr>
          <w:i/>
          <w:lang w:val="fr-BE"/>
        </w:rPr>
        <w:t xml:space="preserve"> proposée par ce dernier</w:t>
      </w:r>
      <w:r w:rsidR="00CA6AE6" w:rsidRPr="00C57832">
        <w:rPr>
          <w:i/>
          <w:lang w:val="fr-BE"/>
        </w:rPr>
        <w:t>)</w:t>
      </w:r>
      <w:r w:rsidRPr="00C57832">
        <w:rPr>
          <w:i/>
          <w:lang w:val="fr-BE"/>
        </w:rPr>
        <w:t xml:space="preserve"> peut refuser le chargement. Dans les 24 heures à compter du premier jour ouvrable qui suit la date de réception des matériaux, le centre de tri</w:t>
      </w:r>
      <w:r w:rsidR="00CA6AE6" w:rsidRPr="00C57832">
        <w:rPr>
          <w:i/>
          <w:lang w:val="fr-BE"/>
        </w:rPr>
        <w:t xml:space="preserve"> (ou </w:t>
      </w:r>
      <w:r w:rsidR="00751929" w:rsidRPr="00C57832">
        <w:rPr>
          <w:i/>
          <w:lang w:val="fr-BE"/>
        </w:rPr>
        <w:t xml:space="preserve">la </w:t>
      </w:r>
      <w:r w:rsidR="00CA6AE6" w:rsidRPr="00C57832">
        <w:rPr>
          <w:i/>
          <w:lang w:val="fr-BE"/>
        </w:rPr>
        <w:t xml:space="preserve">station de transfert) </w:t>
      </w:r>
      <w:r w:rsidRPr="00C57832">
        <w:rPr>
          <w:i/>
          <w:lang w:val="fr-BE"/>
        </w:rPr>
        <w:t xml:space="preserve">informera le pouvoir adjudicateur et </w:t>
      </w:r>
      <w:proofErr w:type="spellStart"/>
      <w:r w:rsidRPr="00C57832">
        <w:rPr>
          <w:i/>
          <w:lang w:val="fr-BE"/>
        </w:rPr>
        <w:t>Fost</w:t>
      </w:r>
      <w:proofErr w:type="spellEnd"/>
      <w:r w:rsidRPr="00C57832">
        <w:rPr>
          <w:i/>
          <w:lang w:val="fr-BE"/>
        </w:rPr>
        <w:t xml:space="preserve"> Plus de ce refus par fax ou par e-mail. Un délégué du pouvoir adjudicateur et/ou de </w:t>
      </w:r>
      <w:proofErr w:type="spellStart"/>
      <w:r w:rsidRPr="00C57832">
        <w:rPr>
          <w:i/>
          <w:lang w:val="fr-BE"/>
        </w:rPr>
        <w:t>Fost</w:t>
      </w:r>
      <w:proofErr w:type="spellEnd"/>
      <w:r w:rsidRPr="00C57832">
        <w:rPr>
          <w:i/>
          <w:lang w:val="fr-BE"/>
        </w:rPr>
        <w:t xml:space="preserve"> Plus pourra inspecter la qualité du matériel sur place. Dans le cas où la plainte du centre de tri (ou de la station de transfert) est fondée et que le prestataire de services est à la base de ces irrégularités, le prestataire de services sera responsable des coûts de tri et/ou d'élimination supplémentaire</w:t>
      </w:r>
      <w:r w:rsidR="00620CB3" w:rsidRPr="00C57832">
        <w:rPr>
          <w:i/>
          <w:lang w:val="fr-BE"/>
        </w:rPr>
        <w:t>s</w:t>
      </w:r>
      <w:r w:rsidRPr="00C57832">
        <w:rPr>
          <w:i/>
          <w:lang w:val="fr-BE"/>
        </w:rPr>
        <w:t>. Le mode de traitement et/ou d'élimination sera déterminé en concertation entre toutes les parties.</w:t>
      </w:r>
    </w:p>
    <w:p w14:paraId="5B79EBDE" w14:textId="77777777" w:rsidR="00CF4917" w:rsidRPr="00C57832" w:rsidRDefault="00CF4917" w:rsidP="00CF4917">
      <w:pPr>
        <w:rPr>
          <w:i/>
          <w:szCs w:val="18"/>
          <w:lang w:val="fr-BE"/>
        </w:rPr>
      </w:pPr>
      <w:r w:rsidRPr="00C57832">
        <w:rPr>
          <w:i/>
          <w:szCs w:val="18"/>
          <w:lang w:val="fr-BE"/>
        </w:rPr>
        <w:t>Dans le cadre d’une éventuelle collecte duo :</w:t>
      </w:r>
    </w:p>
    <w:p w14:paraId="6F5A78EA" w14:textId="4022498F" w:rsidR="00CF4917" w:rsidRPr="00C57832" w:rsidRDefault="00637A98" w:rsidP="00BB166A">
      <w:pPr>
        <w:pStyle w:val="Paragraphedeliste"/>
        <w:numPr>
          <w:ilvl w:val="0"/>
          <w:numId w:val="18"/>
        </w:numPr>
        <w:contextualSpacing w:val="0"/>
        <w:rPr>
          <w:i/>
          <w:szCs w:val="18"/>
          <w:lang w:val="fr-BE"/>
        </w:rPr>
      </w:pPr>
      <w:r w:rsidRPr="00C57832">
        <w:rPr>
          <w:i/>
          <w:szCs w:val="18"/>
          <w:lang w:val="fr-BE"/>
        </w:rPr>
        <w:t>S</w:t>
      </w:r>
      <w:r w:rsidR="00CF4917" w:rsidRPr="00C57832">
        <w:rPr>
          <w:i/>
          <w:szCs w:val="18"/>
          <w:lang w:val="fr-BE"/>
        </w:rPr>
        <w:t xml:space="preserve">i du PMC est livré, </w:t>
      </w:r>
      <w:r w:rsidRPr="00C57832">
        <w:rPr>
          <w:i/>
          <w:szCs w:val="18"/>
          <w:lang w:val="fr-BE"/>
        </w:rPr>
        <w:t>du</w:t>
      </w:r>
      <w:r w:rsidR="00CF4917" w:rsidRPr="00C57832">
        <w:rPr>
          <w:i/>
          <w:szCs w:val="18"/>
          <w:lang w:val="fr-BE"/>
        </w:rPr>
        <w:t xml:space="preserve"> papier-carton</w:t>
      </w:r>
      <w:r w:rsidRPr="00C57832">
        <w:rPr>
          <w:i/>
          <w:szCs w:val="18"/>
          <w:lang w:val="fr-BE"/>
        </w:rPr>
        <w:t xml:space="preserve"> ne peut pas se retrouver</w:t>
      </w:r>
      <w:r w:rsidR="00CF4917" w:rsidRPr="00C57832">
        <w:rPr>
          <w:i/>
          <w:szCs w:val="18"/>
          <w:lang w:val="fr-BE"/>
        </w:rPr>
        <w:t xml:space="preserve"> </w:t>
      </w:r>
      <w:r w:rsidRPr="00C57832">
        <w:rPr>
          <w:i/>
          <w:szCs w:val="18"/>
          <w:lang w:val="fr-BE"/>
        </w:rPr>
        <w:t>mêlé au</w:t>
      </w:r>
      <w:r w:rsidR="00CF4917" w:rsidRPr="00C57832">
        <w:rPr>
          <w:i/>
          <w:szCs w:val="18"/>
          <w:lang w:val="fr-BE"/>
        </w:rPr>
        <w:t xml:space="preserve"> PMC</w:t>
      </w:r>
    </w:p>
    <w:p w14:paraId="7CDD9DF8" w14:textId="7408BC80" w:rsidR="00CF4917" w:rsidRPr="00C57832" w:rsidRDefault="00637A98" w:rsidP="00BB166A">
      <w:pPr>
        <w:pStyle w:val="Paragraphedeliste"/>
        <w:numPr>
          <w:ilvl w:val="0"/>
          <w:numId w:val="18"/>
        </w:numPr>
        <w:contextualSpacing w:val="0"/>
        <w:rPr>
          <w:i/>
          <w:szCs w:val="18"/>
          <w:lang w:val="fr-BE"/>
        </w:rPr>
      </w:pPr>
      <w:r w:rsidRPr="00C57832">
        <w:rPr>
          <w:i/>
          <w:szCs w:val="18"/>
          <w:lang w:val="fr-BE"/>
        </w:rPr>
        <w:t>S</w:t>
      </w:r>
      <w:r w:rsidR="00CF4917" w:rsidRPr="00C57832">
        <w:rPr>
          <w:i/>
          <w:szCs w:val="18"/>
          <w:lang w:val="fr-BE"/>
        </w:rPr>
        <w:t xml:space="preserve">i </w:t>
      </w:r>
      <w:r w:rsidRPr="00C57832">
        <w:rPr>
          <w:i/>
          <w:szCs w:val="18"/>
          <w:lang w:val="fr-BE"/>
        </w:rPr>
        <w:t>du</w:t>
      </w:r>
      <w:r w:rsidR="00CF4917" w:rsidRPr="00C57832">
        <w:rPr>
          <w:i/>
          <w:szCs w:val="18"/>
          <w:lang w:val="fr-BE"/>
        </w:rPr>
        <w:t xml:space="preserve"> papier-carton est livré, </w:t>
      </w:r>
      <w:r w:rsidRPr="00C57832">
        <w:rPr>
          <w:i/>
          <w:szCs w:val="18"/>
          <w:lang w:val="fr-BE"/>
        </w:rPr>
        <w:t>du</w:t>
      </w:r>
      <w:r w:rsidR="00CF4917" w:rsidRPr="00C57832">
        <w:rPr>
          <w:i/>
          <w:szCs w:val="18"/>
          <w:lang w:val="fr-BE"/>
        </w:rPr>
        <w:t xml:space="preserve"> PMC </w:t>
      </w:r>
      <w:r w:rsidRPr="00C57832">
        <w:rPr>
          <w:i/>
          <w:szCs w:val="18"/>
          <w:lang w:val="fr-BE"/>
        </w:rPr>
        <w:t xml:space="preserve">ne peut pas se retrouver mêlé au </w:t>
      </w:r>
      <w:r w:rsidR="00CF4917" w:rsidRPr="00C57832">
        <w:rPr>
          <w:i/>
          <w:szCs w:val="18"/>
          <w:lang w:val="fr-BE"/>
        </w:rPr>
        <w:t>papier-carton.</w:t>
      </w:r>
    </w:p>
    <w:p w14:paraId="397C7F0A" w14:textId="77777777" w:rsidR="006B4934" w:rsidRPr="00C57832" w:rsidRDefault="006B4934">
      <w:pPr>
        <w:rPr>
          <w:i/>
          <w:lang w:val="fr-BE"/>
        </w:rPr>
      </w:pPr>
      <w:r w:rsidRPr="00C57832">
        <w:rPr>
          <w:i/>
          <w:lang w:val="fr-BE"/>
        </w:rPr>
        <w:t xml:space="preserve">Le pouvoir adjudicateur et </w:t>
      </w:r>
      <w:proofErr w:type="spellStart"/>
      <w:r w:rsidRPr="00C57832">
        <w:rPr>
          <w:i/>
          <w:lang w:val="fr-BE"/>
        </w:rPr>
        <w:t>Fost</w:t>
      </w:r>
      <w:proofErr w:type="spellEnd"/>
      <w:r w:rsidRPr="00C57832">
        <w:rPr>
          <w:i/>
          <w:lang w:val="fr-BE"/>
        </w:rPr>
        <w:t xml:space="preserve"> Plus disposent du droit de contrôler à tout moment l'origine des PMC collectés. A la demande de ces parties, le collecteur devra pouvoir présenter toutes les preuves nécessaires (bordereaux, disques des tachygraphes, fiches d'enregistrement).</w:t>
      </w:r>
    </w:p>
    <w:p w14:paraId="0FAFB3D2" w14:textId="77777777" w:rsidR="008D3542" w:rsidRPr="00C57832" w:rsidRDefault="00AF3E77" w:rsidP="00AF3E77">
      <w:pPr>
        <w:rPr>
          <w:i/>
          <w:lang w:val="fr-BE"/>
        </w:rPr>
      </w:pPr>
      <w:r w:rsidRPr="00C57832">
        <w:rPr>
          <w:i/>
          <w:lang w:val="fr-BE"/>
        </w:rPr>
        <w:t xml:space="preserve">En cas d’utilisation d’une station de transfert, les matériaux collectés sont pesés en vrac par le prestataire de services lors de leur livraison à la station de transfert et sont ensuite stockés provisoirement sur un sol en dur dans un entrepôt suffisamment spacieux et couvert. Il n’est en outre pas autorisé de stocker plus de matériaux que l’apport mensuel en provenance de la collecte. </w:t>
      </w:r>
    </w:p>
    <w:p w14:paraId="441BCCA4" w14:textId="218EE307" w:rsidR="00AF3E77" w:rsidRPr="00C57832" w:rsidRDefault="00AF3E77" w:rsidP="00AF3E77">
      <w:pPr>
        <w:rPr>
          <w:i/>
          <w:lang w:val="fr-BE"/>
        </w:rPr>
      </w:pPr>
      <w:r w:rsidRPr="00C57832">
        <w:rPr>
          <w:i/>
          <w:lang w:val="fr-BE"/>
        </w:rPr>
        <w:t xml:space="preserve">Les matériaux entrant dans l’éventuelle station de transfert doivent en toutes circonstances être évacués dans le mois qui suit leur entrée dans le stock. Dans le cas où la station de transfert, reçoit plusieurs matériaux provenant d’autres marchés, ceux-ci devront être traités de </w:t>
      </w:r>
      <w:r w:rsidR="001532DE" w:rsidRPr="00C57832">
        <w:rPr>
          <w:i/>
          <w:lang w:val="fr-BE"/>
        </w:rPr>
        <w:t>façon tout à fait séparée</w:t>
      </w:r>
      <w:r w:rsidRPr="00C57832">
        <w:rPr>
          <w:i/>
          <w:lang w:val="fr-BE"/>
        </w:rPr>
        <w:t>, à toutes les étapes du processus, en ce compris la gestion administrative.</w:t>
      </w:r>
      <w:r w:rsidR="008D3542" w:rsidRPr="00C57832">
        <w:rPr>
          <w:i/>
          <w:lang w:val="fr-BE"/>
        </w:rPr>
        <w:t xml:space="preserve"> La station de transfert est responsable pour les coûts éventuels</w:t>
      </w:r>
      <w:r w:rsidRPr="00C57832">
        <w:rPr>
          <w:i/>
          <w:lang w:val="fr-BE"/>
        </w:rPr>
        <w:t xml:space="preserve"> </w:t>
      </w:r>
      <w:r w:rsidR="008D3542" w:rsidRPr="00C57832">
        <w:rPr>
          <w:i/>
          <w:lang w:val="fr-BE"/>
        </w:rPr>
        <w:t xml:space="preserve">suite à une </w:t>
      </w:r>
      <w:r w:rsidR="001532DE" w:rsidRPr="00C57832">
        <w:rPr>
          <w:i/>
          <w:lang w:val="fr-BE"/>
        </w:rPr>
        <w:t>baisse</w:t>
      </w:r>
      <w:r w:rsidR="008D3542" w:rsidRPr="00C57832">
        <w:rPr>
          <w:i/>
          <w:lang w:val="fr-BE"/>
        </w:rPr>
        <w:t xml:space="preserve"> de qualité due à un mode stockage non-conforme.</w:t>
      </w:r>
    </w:p>
    <w:p w14:paraId="397C7F0B" w14:textId="589581A6" w:rsidR="006B4934" w:rsidRPr="00E03B09" w:rsidRDefault="00684EEA" w:rsidP="00BB166A">
      <w:pPr>
        <w:pStyle w:val="Paragraphedeliste"/>
        <w:numPr>
          <w:ilvl w:val="0"/>
          <w:numId w:val="24"/>
        </w:numPr>
        <w:rPr>
          <w:b/>
          <w:lang w:val="fr-BE" w:eastAsia="nl-NL"/>
        </w:rPr>
      </w:pPr>
      <w:bookmarkStart w:id="174" w:name="_Toc200945534"/>
      <w:bookmarkStart w:id="175" w:name="_Toc201025165"/>
      <w:bookmarkStart w:id="176" w:name="_Toc201587472"/>
      <w:bookmarkStart w:id="177" w:name="_Toc513197775"/>
      <w:r w:rsidRPr="00E03B09">
        <w:rPr>
          <w:b/>
          <w:sz w:val="24"/>
          <w:lang w:val="fr-BE" w:eastAsia="nl-NL"/>
        </w:rPr>
        <w:t xml:space="preserve">Exigences minimales </w:t>
      </w:r>
      <w:r w:rsidR="00C74BA9" w:rsidRPr="00E03B09">
        <w:rPr>
          <w:b/>
          <w:sz w:val="24"/>
          <w:lang w:val="fr-BE" w:eastAsia="nl-NL"/>
        </w:rPr>
        <w:t xml:space="preserve">pour le personnel et les </w:t>
      </w:r>
      <w:r w:rsidR="006B4934" w:rsidRPr="00E03B09">
        <w:rPr>
          <w:b/>
          <w:sz w:val="24"/>
          <w:lang w:val="fr-BE" w:eastAsia="nl-NL"/>
        </w:rPr>
        <w:t>véhicules de collecte</w:t>
      </w:r>
      <w:bookmarkEnd w:id="174"/>
      <w:bookmarkEnd w:id="175"/>
      <w:bookmarkEnd w:id="176"/>
      <w:bookmarkEnd w:id="177"/>
      <w:r w:rsidR="00C74BA9" w:rsidRPr="00E03B09">
        <w:rPr>
          <w:b/>
          <w:sz w:val="24"/>
          <w:lang w:val="fr-BE" w:eastAsia="nl-NL"/>
        </w:rPr>
        <w:t xml:space="preserve"> </w:t>
      </w:r>
    </w:p>
    <w:p w14:paraId="397C7F0C" w14:textId="2001C31B" w:rsidR="00684EEA" w:rsidRPr="00E03B09" w:rsidRDefault="00684EEA" w:rsidP="00BB166A">
      <w:pPr>
        <w:pStyle w:val="Paragraphedeliste"/>
        <w:numPr>
          <w:ilvl w:val="1"/>
          <w:numId w:val="24"/>
        </w:numPr>
        <w:rPr>
          <w:sz w:val="24"/>
          <w:lang w:val="fr-BE" w:eastAsia="nl-NL"/>
        </w:rPr>
      </w:pPr>
      <w:bookmarkStart w:id="178" w:name="_Toc513197776"/>
      <w:r w:rsidRPr="00E03B09">
        <w:rPr>
          <w:sz w:val="24"/>
          <w:lang w:val="fr-BE" w:eastAsia="nl-NL"/>
        </w:rPr>
        <w:t>Exigences minimales pour les véhicules de collecte</w:t>
      </w:r>
      <w:bookmarkEnd w:id="178"/>
    </w:p>
    <w:p w14:paraId="397C7F0D" w14:textId="77777777" w:rsidR="006B4934" w:rsidRPr="00C57832" w:rsidRDefault="006B4934" w:rsidP="00344452">
      <w:pPr>
        <w:pStyle w:val="Listepuces"/>
        <w:rPr>
          <w:lang w:val="fr-BE"/>
        </w:rPr>
      </w:pPr>
      <w:r w:rsidRPr="00C57832">
        <w:rPr>
          <w:lang w:val="fr-BE"/>
        </w:rPr>
        <w:t xml:space="preserve">Les véhicules doivent satisfaire à tous points de vue aux dispositions légales </w:t>
      </w:r>
      <w:r w:rsidR="001040F7" w:rsidRPr="00C57832">
        <w:rPr>
          <w:lang w:val="fr-BE"/>
        </w:rPr>
        <w:t xml:space="preserve">en matière de </w:t>
      </w:r>
      <w:r w:rsidRPr="00C57832">
        <w:rPr>
          <w:lang w:val="fr-BE"/>
        </w:rPr>
        <w:t>transport routier et, le cas échéant, aux dispositions légales relatives au transport routier transfrontalier.</w:t>
      </w:r>
    </w:p>
    <w:p w14:paraId="397C7F0E" w14:textId="77777777" w:rsidR="006B4934" w:rsidRPr="00C57832" w:rsidRDefault="006B4934" w:rsidP="00344452">
      <w:pPr>
        <w:pStyle w:val="Listepuces"/>
        <w:rPr>
          <w:lang w:val="fr-BE"/>
        </w:rPr>
      </w:pPr>
      <w:r w:rsidRPr="00C57832">
        <w:rPr>
          <w:lang w:val="fr-BE"/>
        </w:rPr>
        <w:t xml:space="preserve">Les véhicules doivent être pourvus des </w:t>
      </w:r>
      <w:r w:rsidR="001040F7" w:rsidRPr="00C57832">
        <w:rPr>
          <w:lang w:val="fr-BE"/>
        </w:rPr>
        <w:t>dispositifs de</w:t>
      </w:r>
      <w:r w:rsidR="00A81DC8" w:rsidRPr="00C57832">
        <w:rPr>
          <w:lang w:val="fr-BE"/>
        </w:rPr>
        <w:t xml:space="preserve"> </w:t>
      </w:r>
      <w:r w:rsidRPr="00C57832">
        <w:rPr>
          <w:lang w:val="fr-BE"/>
        </w:rPr>
        <w:t xml:space="preserve">protection </w:t>
      </w:r>
      <w:r w:rsidR="001040F7" w:rsidRPr="00C57832">
        <w:rPr>
          <w:lang w:val="fr-BE"/>
        </w:rPr>
        <w:t xml:space="preserve">individuelle du </w:t>
      </w:r>
      <w:r w:rsidRPr="00C57832">
        <w:rPr>
          <w:lang w:val="fr-BE"/>
        </w:rPr>
        <w:t>personnel</w:t>
      </w:r>
      <w:r w:rsidR="001040F7" w:rsidRPr="00C57832">
        <w:rPr>
          <w:lang w:val="fr-BE"/>
        </w:rPr>
        <w:t xml:space="preserve"> de collecte</w:t>
      </w:r>
      <w:r w:rsidRPr="00C57832">
        <w:rPr>
          <w:lang w:val="fr-BE"/>
        </w:rPr>
        <w:t xml:space="preserve"> et </w:t>
      </w:r>
      <w:r w:rsidR="00046AD9" w:rsidRPr="00C57832">
        <w:rPr>
          <w:lang w:val="fr-BE"/>
        </w:rPr>
        <w:t>d</w:t>
      </w:r>
      <w:r w:rsidRPr="00C57832">
        <w:rPr>
          <w:lang w:val="fr-BE"/>
        </w:rPr>
        <w:t>es autres usagers de la route (p. ex. rétroviseurs pour angle mort).</w:t>
      </w:r>
    </w:p>
    <w:p w14:paraId="397C7F0F" w14:textId="77777777" w:rsidR="006B4934" w:rsidRPr="00C57832" w:rsidRDefault="006B4934" w:rsidP="00344452">
      <w:pPr>
        <w:pStyle w:val="Listepuces"/>
        <w:rPr>
          <w:lang w:val="fr-BE"/>
        </w:rPr>
      </w:pPr>
      <w:r w:rsidRPr="00C57832">
        <w:rPr>
          <w:lang w:val="fr-BE"/>
        </w:rPr>
        <w:t>Les véhicules de collecte doivent toujours être en bon état et permettre de respecter les exigences décrites dans le présent cahier des charges.</w:t>
      </w:r>
    </w:p>
    <w:p w14:paraId="397C7F10" w14:textId="77777777" w:rsidR="006B4934" w:rsidRPr="00C57832" w:rsidRDefault="006B4934" w:rsidP="00344452">
      <w:pPr>
        <w:pStyle w:val="Listepuces"/>
        <w:rPr>
          <w:lang w:val="fr-BE"/>
        </w:rPr>
      </w:pPr>
      <w:r w:rsidRPr="00C57832">
        <w:rPr>
          <w:lang w:val="fr-BE"/>
        </w:rPr>
        <w:t xml:space="preserve">Les véhicules de collecte </w:t>
      </w:r>
      <w:r w:rsidR="00026975" w:rsidRPr="00C57832">
        <w:rPr>
          <w:lang w:val="fr-BE"/>
        </w:rPr>
        <w:t xml:space="preserve">en porte-à-porte </w:t>
      </w:r>
      <w:r w:rsidRPr="00C57832">
        <w:rPr>
          <w:lang w:val="fr-BE"/>
        </w:rPr>
        <w:t>doivent être équipés sur les côtés de panneaux de sensibilisation. Les adaptations nécessaires aux véhicules sont à charge du prestataire de services. Les dimensions supposées de ces panneaux sont de 1 m x 1,5 m ; les dimensions finales seront déterminées avec le prestataire de services. Ces panneaux de sensibilisation seront mis à disposition par le pouvoir adjudicateur.</w:t>
      </w:r>
    </w:p>
    <w:p w14:paraId="397C7F11" w14:textId="01A84D20" w:rsidR="006B4934" w:rsidRPr="00C57832" w:rsidRDefault="006B4934" w:rsidP="00344452">
      <w:pPr>
        <w:pStyle w:val="Listepuces"/>
        <w:rPr>
          <w:lang w:val="fr-BE"/>
        </w:rPr>
      </w:pPr>
      <w:r w:rsidRPr="00C57832">
        <w:rPr>
          <w:lang w:val="fr-BE"/>
        </w:rPr>
        <w:t>Les véhicules de collecte doivent être capables de vidanger les conteneurs 1</w:t>
      </w:r>
      <w:r w:rsidR="00026975" w:rsidRPr="00C57832">
        <w:rPr>
          <w:lang w:val="fr-BE"/>
        </w:rPr>
        <w:t xml:space="preserve"> </w:t>
      </w:r>
      <w:r w:rsidRPr="00C57832">
        <w:rPr>
          <w:lang w:val="fr-BE"/>
        </w:rPr>
        <w:t>100 litres utilisés éventuellement par les écoles</w:t>
      </w:r>
      <w:r w:rsidR="00362585" w:rsidRPr="00C57832">
        <w:rPr>
          <w:lang w:val="fr-BE"/>
        </w:rPr>
        <w:t xml:space="preserve"> </w:t>
      </w:r>
      <w:r w:rsidR="00B50970" w:rsidRPr="00C57832">
        <w:rPr>
          <w:lang w:val="fr-BE"/>
        </w:rPr>
        <w:t xml:space="preserve">et d’autres points de collecte groupés, </w:t>
      </w:r>
      <w:r w:rsidR="00362585" w:rsidRPr="00C57832">
        <w:rPr>
          <w:lang w:val="fr-BE"/>
        </w:rPr>
        <w:t xml:space="preserve">ainsi que les conteneurs </w:t>
      </w:r>
      <w:r w:rsidR="00CA6AE6" w:rsidRPr="00C57832">
        <w:rPr>
          <w:lang w:val="fr-BE"/>
        </w:rPr>
        <w:t xml:space="preserve">sur </w:t>
      </w:r>
      <w:proofErr w:type="spellStart"/>
      <w:r w:rsidR="00872188" w:rsidRPr="00C57832">
        <w:rPr>
          <w:lang w:val="fr-BE"/>
        </w:rPr>
        <w:t>recyparc</w:t>
      </w:r>
      <w:proofErr w:type="spellEnd"/>
      <w:r w:rsidR="00CA6AE6" w:rsidRPr="00C57832">
        <w:rPr>
          <w:lang w:val="fr-BE"/>
        </w:rPr>
        <w:t xml:space="preserve"> </w:t>
      </w:r>
      <w:r w:rsidR="00362585" w:rsidRPr="00C57832">
        <w:rPr>
          <w:lang w:val="fr-BE"/>
        </w:rPr>
        <w:t>qui ne sont pas la propriété du prestataire de services</w:t>
      </w:r>
      <w:r w:rsidRPr="00C57832">
        <w:rPr>
          <w:lang w:val="fr-BE"/>
        </w:rPr>
        <w:t>.</w:t>
      </w:r>
    </w:p>
    <w:p w14:paraId="397C7F12" w14:textId="7C9A5A96" w:rsidR="006B4934" w:rsidRPr="0012737C" w:rsidRDefault="006B4934" w:rsidP="00344452">
      <w:pPr>
        <w:pStyle w:val="Listepuces"/>
        <w:rPr>
          <w:lang w:val="fr-BE"/>
        </w:rPr>
      </w:pPr>
      <w:r w:rsidRPr="00C57832">
        <w:rPr>
          <w:lang w:val="fr-BE"/>
        </w:rPr>
        <w:t xml:space="preserve">Eu égard au volume important des matériaux à collecter, on utilisera de préférence un véhicule à presse. </w:t>
      </w:r>
      <w:r w:rsidR="001040F7" w:rsidRPr="00C57832">
        <w:rPr>
          <w:lang w:val="fr-BE"/>
        </w:rPr>
        <w:t xml:space="preserve">Le taux de compression des matériaux PMC devra être adapté aux </w:t>
      </w:r>
      <w:r w:rsidR="001040F7" w:rsidRPr="00C57832">
        <w:rPr>
          <w:lang w:val="fr-BE"/>
        </w:rPr>
        <w:lastRenderedPageBreak/>
        <w:t xml:space="preserve">spécifications de tri de ces produits, et devra pouvoir tenir compte des demandes du centre de tri. </w:t>
      </w:r>
      <w:r w:rsidRPr="00C57832">
        <w:rPr>
          <w:lang w:val="fr-BE"/>
        </w:rPr>
        <w:t xml:space="preserve">Un système de compactage ou de </w:t>
      </w:r>
      <w:r w:rsidRPr="0012737C">
        <w:rPr>
          <w:lang w:val="fr-BE"/>
        </w:rPr>
        <w:t>compression excessive provoquant le déchirement des PMC</w:t>
      </w:r>
      <w:r w:rsidR="00554D8E" w:rsidRPr="0012737C">
        <w:rPr>
          <w:lang w:val="fr-BE"/>
        </w:rPr>
        <w:t xml:space="preserve"> et/ou trop d’imbrications</w:t>
      </w:r>
      <w:r w:rsidRPr="0012737C">
        <w:rPr>
          <w:lang w:val="fr-BE"/>
        </w:rPr>
        <w:t xml:space="preserve"> est par ailleurs à proscrire</w:t>
      </w:r>
      <w:r w:rsidR="00E3126B" w:rsidRPr="0012737C">
        <w:rPr>
          <w:lang w:val="fr-BE"/>
        </w:rPr>
        <w:t>.</w:t>
      </w:r>
      <w:r w:rsidRPr="0012737C">
        <w:rPr>
          <w:lang w:val="fr-BE"/>
        </w:rPr>
        <w:t xml:space="preserve"> </w:t>
      </w:r>
      <w:r w:rsidR="00E3126B" w:rsidRPr="0012737C">
        <w:rPr>
          <w:strike/>
          <w:lang w:val="fr-BE"/>
        </w:rPr>
        <w:t xml:space="preserve"> </w:t>
      </w:r>
    </w:p>
    <w:p w14:paraId="397C7F13" w14:textId="77777777" w:rsidR="00684EEA" w:rsidRPr="00C57832" w:rsidRDefault="006B4934" w:rsidP="00344452">
      <w:pPr>
        <w:pStyle w:val="Listepuces"/>
        <w:rPr>
          <w:lang w:val="fr-BE"/>
        </w:rPr>
      </w:pPr>
      <w:r w:rsidRPr="0012737C">
        <w:rPr>
          <w:lang w:val="fr-BE"/>
        </w:rPr>
        <w:t>Les véhicules doivent pouvoir être utilisés dans toutes les communes et dans toutes les situations (possibilité de rues étroites).  Un autre mode de collecte</w:t>
      </w:r>
      <w:r w:rsidRPr="00C57832">
        <w:rPr>
          <w:lang w:val="fr-BE"/>
        </w:rPr>
        <w:t xml:space="preserve"> pourra exceptionnellement être admis pour les endroits difficilement accessibles. </w:t>
      </w:r>
    </w:p>
    <w:p w14:paraId="397C7F14" w14:textId="1A49CED2" w:rsidR="00A81DC8" w:rsidRPr="00C57832" w:rsidRDefault="00A81DC8" w:rsidP="00344452">
      <w:pPr>
        <w:pStyle w:val="Listepuces"/>
        <w:rPr>
          <w:lang w:val="fr-BE"/>
        </w:rPr>
      </w:pPr>
      <w:r w:rsidRPr="00C57832">
        <w:rPr>
          <w:lang w:val="fr-BE"/>
        </w:rPr>
        <w:t>Dans le cas où le prestataire de services utilise</w:t>
      </w:r>
      <w:r w:rsidR="00CA0391" w:rsidRPr="00C57832">
        <w:rPr>
          <w:lang w:val="fr-BE"/>
        </w:rPr>
        <w:t>rait</w:t>
      </w:r>
      <w:r w:rsidRPr="00C57832">
        <w:rPr>
          <w:lang w:val="fr-BE"/>
        </w:rPr>
        <w:t xml:space="preserve"> d’autres </w:t>
      </w:r>
      <w:r w:rsidR="00142932" w:rsidRPr="00C57832">
        <w:rPr>
          <w:lang w:val="fr-BE"/>
        </w:rPr>
        <w:t>véhicules</w:t>
      </w:r>
      <w:r w:rsidR="00CA0391" w:rsidRPr="00C57832">
        <w:rPr>
          <w:lang w:val="fr-BE"/>
        </w:rPr>
        <w:t xml:space="preserve"> durant la durée du </w:t>
      </w:r>
      <w:r w:rsidR="005E5746" w:rsidRPr="00C57832">
        <w:rPr>
          <w:lang w:val="fr-BE"/>
        </w:rPr>
        <w:t>Marché</w:t>
      </w:r>
      <w:r w:rsidR="00142932" w:rsidRPr="00C57832">
        <w:rPr>
          <w:lang w:val="fr-BE"/>
        </w:rPr>
        <w:t>,</w:t>
      </w:r>
      <w:r w:rsidRPr="00C57832">
        <w:rPr>
          <w:lang w:val="fr-BE"/>
        </w:rPr>
        <w:t xml:space="preserve"> </w:t>
      </w:r>
      <w:r w:rsidR="00CA0391" w:rsidRPr="00C57832">
        <w:rPr>
          <w:lang w:val="fr-BE"/>
        </w:rPr>
        <w:t>ceux-ci</w:t>
      </w:r>
      <w:r w:rsidRPr="00C57832">
        <w:rPr>
          <w:lang w:val="fr-BE"/>
        </w:rPr>
        <w:t xml:space="preserve"> </w:t>
      </w:r>
      <w:r w:rsidR="00CA0391" w:rsidRPr="00C57832">
        <w:rPr>
          <w:lang w:val="fr-BE"/>
        </w:rPr>
        <w:t xml:space="preserve">devront présenter au </w:t>
      </w:r>
      <w:r w:rsidRPr="00C57832">
        <w:rPr>
          <w:lang w:val="fr-BE"/>
        </w:rPr>
        <w:t xml:space="preserve">minimum </w:t>
      </w:r>
      <w:r w:rsidR="00CA0391" w:rsidRPr="00C57832">
        <w:rPr>
          <w:lang w:val="fr-BE"/>
        </w:rPr>
        <w:t xml:space="preserve">les mêmes </w:t>
      </w:r>
      <w:r w:rsidRPr="00C57832">
        <w:rPr>
          <w:lang w:val="fr-BE"/>
        </w:rPr>
        <w:t>qualité</w:t>
      </w:r>
      <w:r w:rsidR="00CA0391" w:rsidRPr="00C57832">
        <w:rPr>
          <w:lang w:val="fr-BE"/>
        </w:rPr>
        <w:t>s</w:t>
      </w:r>
      <w:r w:rsidRPr="00C57832">
        <w:rPr>
          <w:lang w:val="fr-BE"/>
        </w:rPr>
        <w:t xml:space="preserve"> et </w:t>
      </w:r>
      <w:r w:rsidR="00CA0391" w:rsidRPr="00C57832">
        <w:rPr>
          <w:lang w:val="fr-BE"/>
        </w:rPr>
        <w:t>le</w:t>
      </w:r>
      <w:r w:rsidRPr="00C57832">
        <w:rPr>
          <w:lang w:val="fr-BE"/>
        </w:rPr>
        <w:t xml:space="preserve"> même niveau technique que </w:t>
      </w:r>
      <w:r w:rsidR="00CA0391" w:rsidRPr="00C57832">
        <w:rPr>
          <w:lang w:val="fr-BE"/>
        </w:rPr>
        <w:t>ceux</w:t>
      </w:r>
      <w:r w:rsidRPr="00C57832">
        <w:rPr>
          <w:lang w:val="fr-BE"/>
        </w:rPr>
        <w:t xml:space="preserve"> présentés dans son offre pour le présent </w:t>
      </w:r>
      <w:r w:rsidR="005E5746" w:rsidRPr="00C57832">
        <w:rPr>
          <w:lang w:val="fr-BE"/>
        </w:rPr>
        <w:t>Marché</w:t>
      </w:r>
      <w:r w:rsidRPr="00C57832">
        <w:rPr>
          <w:lang w:val="fr-BE"/>
        </w:rPr>
        <w:t>.</w:t>
      </w:r>
    </w:p>
    <w:p w14:paraId="397C7F16" w14:textId="0EB407BA" w:rsidR="00E03C1A" w:rsidRPr="00C57832" w:rsidRDefault="0033094F" w:rsidP="00344452">
      <w:pPr>
        <w:pStyle w:val="Listepuces"/>
        <w:rPr>
          <w:lang w:val="fr-BE"/>
        </w:rPr>
      </w:pPr>
      <w:r w:rsidRPr="00C57832">
        <w:rPr>
          <w:lang w:val="fr-BE"/>
        </w:rPr>
        <w:t xml:space="preserve">Dans le cadre d’une éventuelle collecte duo </w:t>
      </w:r>
      <w:r w:rsidR="007F39E4" w:rsidRPr="00C57832">
        <w:rPr>
          <w:lang w:val="fr-BE"/>
        </w:rPr>
        <w:t>avec un camion bi-compartimenté</w:t>
      </w:r>
      <w:r w:rsidRPr="00C57832">
        <w:rPr>
          <w:lang w:val="fr-BE"/>
        </w:rPr>
        <w:t>, seule la combinaison du PMC avec le papier-carton sera autorisée. Toute autre collecte duo du PMC avec une autre fraction est exclue.</w:t>
      </w:r>
    </w:p>
    <w:p w14:paraId="2960D20C" w14:textId="66A7154E" w:rsidR="00585875" w:rsidRPr="00C57832" w:rsidRDefault="00585875" w:rsidP="00344452">
      <w:pPr>
        <w:pStyle w:val="Listepuces"/>
        <w:rPr>
          <w:lang w:val="fr-BE"/>
        </w:rPr>
      </w:pPr>
      <w:r w:rsidRPr="00C57832">
        <w:rPr>
          <w:lang w:val="fr-BE"/>
        </w:rPr>
        <w:t>Dans le cadre d’une éventuelle collecte duo, seuls des camions duo avec deux compartiments séparés et hayons arrières séparés sont admis. Des camions avec un seul hayon sont exclus.</w:t>
      </w:r>
    </w:p>
    <w:p w14:paraId="397C7F17" w14:textId="4729C4F2" w:rsidR="00E03C1A" w:rsidRPr="00E03B09" w:rsidRDefault="002824E2" w:rsidP="00BB166A">
      <w:pPr>
        <w:pStyle w:val="Paragraphedeliste"/>
        <w:numPr>
          <w:ilvl w:val="1"/>
          <w:numId w:val="24"/>
        </w:numPr>
        <w:rPr>
          <w:sz w:val="24"/>
          <w:lang w:val="fr-BE" w:eastAsia="nl-NL"/>
        </w:rPr>
      </w:pPr>
      <w:bookmarkStart w:id="179" w:name="_Toc513197777"/>
      <w:r w:rsidRPr="00E03B09">
        <w:rPr>
          <w:sz w:val="24"/>
          <w:lang w:val="fr-BE" w:eastAsia="nl-NL"/>
        </w:rPr>
        <w:t>Exigences minimales pour le personnel</w:t>
      </w:r>
      <w:bookmarkEnd w:id="179"/>
    </w:p>
    <w:p w14:paraId="397C7F19" w14:textId="71ED153A" w:rsidR="004B34D6" w:rsidRPr="00C57832" w:rsidRDefault="00E03C1A" w:rsidP="00FD4339">
      <w:pPr>
        <w:pStyle w:val="Listepuces"/>
        <w:numPr>
          <w:ilvl w:val="0"/>
          <w:numId w:val="0"/>
        </w:numPr>
        <w:rPr>
          <w:lang w:val="fr-BE"/>
        </w:rPr>
      </w:pPr>
      <w:r w:rsidRPr="00C57832">
        <w:rPr>
          <w:lang w:val="fr-BE"/>
        </w:rPr>
        <w:t xml:space="preserve">Le prestataire de </w:t>
      </w:r>
      <w:r w:rsidR="004B34D6" w:rsidRPr="00C57832">
        <w:rPr>
          <w:lang w:val="fr-BE"/>
        </w:rPr>
        <w:t>services</w:t>
      </w:r>
      <w:r w:rsidRPr="00C57832">
        <w:rPr>
          <w:lang w:val="fr-BE"/>
        </w:rPr>
        <w:t xml:space="preserve"> </w:t>
      </w:r>
      <w:r w:rsidR="00BD3063" w:rsidRPr="00C57832">
        <w:rPr>
          <w:lang w:val="fr-BE"/>
        </w:rPr>
        <w:t xml:space="preserve">s’engage à ce que </w:t>
      </w:r>
      <w:r w:rsidR="00D50A93" w:rsidRPr="00C57832">
        <w:rPr>
          <w:lang w:val="fr-BE"/>
        </w:rPr>
        <w:t>:</w:t>
      </w:r>
    </w:p>
    <w:p w14:paraId="397C7F1A" w14:textId="77777777" w:rsidR="00E03C1A" w:rsidRPr="00C57832" w:rsidRDefault="00D50A93" w:rsidP="00344452">
      <w:pPr>
        <w:pStyle w:val="Listepuces"/>
        <w:rPr>
          <w:lang w:val="fr-BE"/>
        </w:rPr>
      </w:pPr>
      <w:proofErr w:type="gramStart"/>
      <w:r w:rsidRPr="00C57832">
        <w:rPr>
          <w:lang w:val="fr-BE"/>
        </w:rPr>
        <w:t>l</w:t>
      </w:r>
      <w:r w:rsidR="004B34D6" w:rsidRPr="00C57832">
        <w:rPr>
          <w:lang w:val="fr-BE"/>
        </w:rPr>
        <w:t>e</w:t>
      </w:r>
      <w:proofErr w:type="gramEnd"/>
      <w:r w:rsidR="004B34D6" w:rsidRPr="00C57832">
        <w:rPr>
          <w:lang w:val="fr-BE"/>
        </w:rPr>
        <w:t xml:space="preserve"> personnel affecté à cette mission reçoive les instructions nécessaires dans le cadre de son travail et veille à ce que ces </w:t>
      </w:r>
      <w:r w:rsidR="007F7581" w:rsidRPr="00C57832">
        <w:rPr>
          <w:lang w:val="fr-BE"/>
        </w:rPr>
        <w:t>consignes</w:t>
      </w:r>
      <w:r w:rsidR="004B34D6" w:rsidRPr="00C57832">
        <w:rPr>
          <w:lang w:val="fr-BE"/>
        </w:rPr>
        <w:t xml:space="preserve"> soient appliquées et respectées</w:t>
      </w:r>
      <w:r w:rsidR="00BD3063" w:rsidRPr="00C57832">
        <w:rPr>
          <w:lang w:val="fr-BE"/>
        </w:rPr>
        <w:t>;</w:t>
      </w:r>
    </w:p>
    <w:p w14:paraId="397C7F1B" w14:textId="77777777" w:rsidR="00E03C1A" w:rsidRPr="00C57832" w:rsidRDefault="00D50A93" w:rsidP="00344452">
      <w:pPr>
        <w:pStyle w:val="Listepuces"/>
        <w:rPr>
          <w:lang w:val="fr-BE"/>
        </w:rPr>
      </w:pPr>
      <w:proofErr w:type="gramStart"/>
      <w:r w:rsidRPr="00C57832">
        <w:rPr>
          <w:lang w:val="fr-BE"/>
        </w:rPr>
        <w:t>l</w:t>
      </w:r>
      <w:r w:rsidR="004B34D6" w:rsidRPr="00C57832">
        <w:rPr>
          <w:lang w:val="fr-BE"/>
        </w:rPr>
        <w:t>e</w:t>
      </w:r>
      <w:proofErr w:type="gramEnd"/>
      <w:r w:rsidR="004B34D6" w:rsidRPr="00C57832">
        <w:rPr>
          <w:lang w:val="fr-BE"/>
        </w:rPr>
        <w:t xml:space="preserve"> personne</w:t>
      </w:r>
      <w:r w:rsidR="00B56CA2" w:rsidRPr="00C57832">
        <w:rPr>
          <w:lang w:val="fr-BE"/>
        </w:rPr>
        <w:t>l</w:t>
      </w:r>
      <w:r w:rsidR="004B34D6" w:rsidRPr="00C57832">
        <w:rPr>
          <w:lang w:val="fr-BE"/>
        </w:rPr>
        <w:t xml:space="preserve"> affecté à cette mission reçoive </w:t>
      </w:r>
      <w:r w:rsidR="008D5992" w:rsidRPr="00C57832">
        <w:rPr>
          <w:lang w:val="fr-BE"/>
        </w:rPr>
        <w:t xml:space="preserve">et utilise </w:t>
      </w:r>
      <w:r w:rsidR="009551C1" w:rsidRPr="00C57832">
        <w:rPr>
          <w:lang w:val="fr-BE"/>
        </w:rPr>
        <w:t>les équipements de protection individuelle</w:t>
      </w:r>
      <w:r w:rsidR="00142932" w:rsidRPr="00C57832">
        <w:rPr>
          <w:lang w:val="fr-BE"/>
        </w:rPr>
        <w:t xml:space="preserve"> </w:t>
      </w:r>
      <w:r w:rsidR="008D5992" w:rsidRPr="00C57832">
        <w:rPr>
          <w:lang w:val="fr-BE"/>
        </w:rPr>
        <w:t>mis à sa disposition</w:t>
      </w:r>
      <w:r w:rsidR="00BD3063" w:rsidRPr="00C57832">
        <w:rPr>
          <w:lang w:val="fr-BE"/>
        </w:rPr>
        <w:t>;</w:t>
      </w:r>
    </w:p>
    <w:p w14:paraId="397C7F1C" w14:textId="77777777" w:rsidR="00E03C1A" w:rsidRPr="00C57832" w:rsidRDefault="00D50A93" w:rsidP="00344452">
      <w:pPr>
        <w:pStyle w:val="Listepuces"/>
        <w:rPr>
          <w:lang w:val="fr-BE"/>
        </w:rPr>
      </w:pPr>
      <w:proofErr w:type="gramStart"/>
      <w:r w:rsidRPr="00C57832">
        <w:rPr>
          <w:lang w:val="fr-BE"/>
        </w:rPr>
        <w:t>l</w:t>
      </w:r>
      <w:r w:rsidR="004B34D6" w:rsidRPr="00C57832">
        <w:rPr>
          <w:lang w:val="fr-BE"/>
        </w:rPr>
        <w:t>e</w:t>
      </w:r>
      <w:proofErr w:type="gramEnd"/>
      <w:r w:rsidR="004B34D6" w:rsidRPr="00C57832">
        <w:rPr>
          <w:lang w:val="fr-BE"/>
        </w:rPr>
        <w:t xml:space="preserve"> personnel affecté à cette mission puisse s’exprimer aisément en Français</w:t>
      </w:r>
      <w:r w:rsidR="00BD3063" w:rsidRPr="00C57832">
        <w:rPr>
          <w:lang w:val="fr-BE"/>
        </w:rPr>
        <w:t>;</w:t>
      </w:r>
    </w:p>
    <w:p w14:paraId="397C7F1D" w14:textId="77777777" w:rsidR="00E03C1A" w:rsidRPr="00C57832" w:rsidRDefault="00D50A93" w:rsidP="00344452">
      <w:pPr>
        <w:pStyle w:val="Listepuces"/>
        <w:rPr>
          <w:lang w:val="fr-BE"/>
        </w:rPr>
      </w:pPr>
      <w:proofErr w:type="gramStart"/>
      <w:r w:rsidRPr="00C57832">
        <w:rPr>
          <w:lang w:val="fr-BE"/>
        </w:rPr>
        <w:t>l</w:t>
      </w:r>
      <w:r w:rsidR="004B34D6" w:rsidRPr="00C57832">
        <w:rPr>
          <w:lang w:val="fr-BE"/>
        </w:rPr>
        <w:t>e</w:t>
      </w:r>
      <w:proofErr w:type="gramEnd"/>
      <w:r w:rsidR="004B34D6" w:rsidRPr="00C57832">
        <w:rPr>
          <w:lang w:val="fr-BE"/>
        </w:rPr>
        <w:t xml:space="preserve"> personnel affecté à cette mission se comporte de manière aimable et polie envers les citoyens et les usagers de la route</w:t>
      </w:r>
      <w:r w:rsidR="00BD3063" w:rsidRPr="00C57832">
        <w:rPr>
          <w:lang w:val="fr-BE"/>
        </w:rPr>
        <w:t>;</w:t>
      </w:r>
    </w:p>
    <w:p w14:paraId="31A14643" w14:textId="358652B1" w:rsidR="00DB7FEB" w:rsidRPr="00C57832" w:rsidRDefault="00D50A93" w:rsidP="00DB7FEB">
      <w:pPr>
        <w:pStyle w:val="Listepuces"/>
        <w:rPr>
          <w:lang w:val="fr-BE"/>
        </w:rPr>
      </w:pPr>
      <w:proofErr w:type="gramStart"/>
      <w:r w:rsidRPr="00C57832">
        <w:rPr>
          <w:lang w:val="fr-BE"/>
        </w:rPr>
        <w:t>le</w:t>
      </w:r>
      <w:proofErr w:type="gramEnd"/>
      <w:r w:rsidRPr="00C57832">
        <w:rPr>
          <w:lang w:val="fr-BE"/>
        </w:rPr>
        <w:t xml:space="preserve"> personnel affecté à cette mission fa</w:t>
      </w:r>
      <w:r w:rsidR="00DA2CF9" w:rsidRPr="00C57832">
        <w:rPr>
          <w:lang w:val="fr-BE"/>
        </w:rPr>
        <w:t>sse</w:t>
      </w:r>
      <w:r w:rsidRPr="00C57832">
        <w:rPr>
          <w:lang w:val="fr-BE"/>
        </w:rPr>
        <w:t xml:space="preserve"> preuve d’un comportement discret</w:t>
      </w:r>
      <w:r w:rsidR="00DB7FEB" w:rsidRPr="00C57832">
        <w:rPr>
          <w:lang w:val="fr-BE"/>
        </w:rPr>
        <w:t> ;</w:t>
      </w:r>
    </w:p>
    <w:p w14:paraId="7086C1E2" w14:textId="7D1F0FC3" w:rsidR="00DB7FEB" w:rsidRPr="00C57832" w:rsidRDefault="00DB7FEB" w:rsidP="00DB7FEB">
      <w:pPr>
        <w:pStyle w:val="Listepuces"/>
        <w:rPr>
          <w:lang w:val="fr-BE"/>
        </w:rPr>
      </w:pPr>
      <w:proofErr w:type="gramStart"/>
      <w:r w:rsidRPr="00C57832">
        <w:rPr>
          <w:lang w:val="fr-BE"/>
        </w:rPr>
        <w:t>le</w:t>
      </w:r>
      <w:proofErr w:type="gramEnd"/>
      <w:r w:rsidRPr="00C57832">
        <w:rPr>
          <w:lang w:val="fr-BE"/>
        </w:rPr>
        <w:t xml:space="preserve"> nombre de membres du personnel présent à bord du camion soit toujours identique lors des pesées, et ce lors de chaque collecte afin de ne pas fausser les poids mesurés.</w:t>
      </w:r>
    </w:p>
    <w:p w14:paraId="276F044C" w14:textId="2BACA646" w:rsidR="00E105E6" w:rsidRPr="00E03B09" w:rsidRDefault="00E105E6" w:rsidP="00BB166A">
      <w:pPr>
        <w:pStyle w:val="Paragraphedeliste"/>
        <w:numPr>
          <w:ilvl w:val="1"/>
          <w:numId w:val="24"/>
        </w:numPr>
        <w:rPr>
          <w:sz w:val="24"/>
          <w:lang w:val="fr-BE" w:eastAsia="nl-NL"/>
        </w:rPr>
      </w:pPr>
      <w:bookmarkStart w:id="180" w:name="_Toc513197778"/>
      <w:r w:rsidRPr="00E03B09">
        <w:rPr>
          <w:sz w:val="24"/>
          <w:lang w:val="fr-BE" w:eastAsia="nl-NL"/>
        </w:rPr>
        <w:t>Exigences minimales pour la station de transfert éventuelle</w:t>
      </w:r>
      <w:bookmarkEnd w:id="180"/>
    </w:p>
    <w:p w14:paraId="22D3DA5A" w14:textId="33A3A401" w:rsidR="00E105E6" w:rsidRPr="00C57832" w:rsidRDefault="00E105E6" w:rsidP="00E105E6">
      <w:pPr>
        <w:pStyle w:val="Listepuces"/>
        <w:rPr>
          <w:lang w:val="fr-BE"/>
        </w:rPr>
      </w:pPr>
      <w:r w:rsidRPr="00C57832">
        <w:rPr>
          <w:lang w:val="fr-BE"/>
        </w:rPr>
        <w:t>La station de transfert éventuelle doit posséder un permis d'exploitation en accord avec le travail proposé et doit satisfaire aux législations environnementales en vigueur, au RGPT, au RGIE, aux prescriptions des services de pompiers et aux autres législations en la matière.</w:t>
      </w:r>
    </w:p>
    <w:p w14:paraId="06C8D071" w14:textId="77777777" w:rsidR="00E105E6" w:rsidRPr="00C57832" w:rsidRDefault="00E105E6" w:rsidP="00E105E6">
      <w:pPr>
        <w:pStyle w:val="Listepuces"/>
        <w:rPr>
          <w:lang w:val="fr-BE"/>
        </w:rPr>
      </w:pPr>
      <w:r w:rsidRPr="00C57832">
        <w:rPr>
          <w:lang w:val="fr-BE"/>
        </w:rPr>
        <w:t>Pont-</w:t>
      </w:r>
      <w:proofErr w:type="gramStart"/>
      <w:r w:rsidRPr="00C57832">
        <w:rPr>
          <w:lang w:val="fr-BE"/>
        </w:rPr>
        <w:t>bascule:</w:t>
      </w:r>
      <w:proofErr w:type="gramEnd"/>
      <w:r w:rsidRPr="00C57832">
        <w:rPr>
          <w:lang w:val="fr-BE"/>
        </w:rPr>
        <w:t xml:space="preserve"> chaque pont-bascule doit être étalonné, avoir une capacité minimale de 30 tonnes et répondre aux prescriptions légales en matière de transactions commerciales.</w:t>
      </w:r>
    </w:p>
    <w:p w14:paraId="3FAB8F42" w14:textId="40B7BBA5" w:rsidR="00E105E6" w:rsidRPr="00C57832" w:rsidRDefault="00E105E6" w:rsidP="00E105E6">
      <w:pPr>
        <w:pStyle w:val="Listepuces"/>
        <w:rPr>
          <w:lang w:val="fr-BE"/>
        </w:rPr>
      </w:pPr>
      <w:r w:rsidRPr="00C57832">
        <w:rPr>
          <w:lang w:val="fr-BE"/>
        </w:rPr>
        <w:t>Stockage : le prestataire de services doit pouvoir stocker provisoirement les matériaux non-triés sur des sols durs. A cet effet, il doit disposer d'entrepôts suffisamment spacieux et couverts.</w:t>
      </w:r>
    </w:p>
    <w:p w14:paraId="63A67212" w14:textId="77777777" w:rsidR="00E00E32" w:rsidRPr="00E03B09" w:rsidRDefault="00E00E32" w:rsidP="00E00E32">
      <w:pPr>
        <w:pStyle w:val="Listepuces"/>
        <w:numPr>
          <w:ilvl w:val="0"/>
          <w:numId w:val="0"/>
        </w:numPr>
        <w:ind w:left="767"/>
        <w:rPr>
          <w:b/>
          <w:lang w:val="fr-BE"/>
        </w:rPr>
      </w:pPr>
    </w:p>
    <w:p w14:paraId="397C7F1F" w14:textId="67CD2D5A" w:rsidR="006B4934" w:rsidRPr="00E03B09" w:rsidRDefault="006B4934" w:rsidP="00BB166A">
      <w:pPr>
        <w:pStyle w:val="Paragraphedeliste"/>
        <w:numPr>
          <w:ilvl w:val="0"/>
          <w:numId w:val="24"/>
        </w:numPr>
        <w:rPr>
          <w:b/>
          <w:sz w:val="24"/>
          <w:lang w:val="fr-BE" w:eastAsia="nl-NL"/>
        </w:rPr>
      </w:pPr>
      <w:bookmarkStart w:id="181" w:name="_Toc200945535"/>
      <w:bookmarkStart w:id="182" w:name="_Toc201025166"/>
      <w:bookmarkStart w:id="183" w:name="_Toc201587473"/>
      <w:bookmarkStart w:id="184" w:name="_Toc513197779"/>
      <w:r w:rsidRPr="00E03B09">
        <w:rPr>
          <w:b/>
          <w:sz w:val="24"/>
          <w:lang w:val="fr-BE" w:eastAsia="nl-NL"/>
        </w:rPr>
        <w:t>Suivi administratif de la mission</w:t>
      </w:r>
      <w:bookmarkEnd w:id="181"/>
      <w:bookmarkEnd w:id="182"/>
      <w:bookmarkEnd w:id="183"/>
      <w:bookmarkEnd w:id="184"/>
    </w:p>
    <w:p w14:paraId="2E1E147A" w14:textId="77777777" w:rsidR="00585875" w:rsidRPr="00C57832" w:rsidRDefault="00585875" w:rsidP="00585875">
      <w:pPr>
        <w:spacing w:after="0" w:line="240" w:lineRule="auto"/>
        <w:rPr>
          <w:szCs w:val="18"/>
          <w:lang w:val="fr-BE"/>
        </w:rPr>
      </w:pPr>
      <w:r w:rsidRPr="00C57832">
        <w:rPr>
          <w:lang w:val="fr-BE"/>
        </w:rPr>
        <w:t>Pour le suivi administratif</w:t>
      </w:r>
      <w:r w:rsidRPr="00C57832">
        <w:rPr>
          <w:szCs w:val="18"/>
          <w:lang w:val="fr-BE"/>
        </w:rPr>
        <w:t xml:space="preserve">, </w:t>
      </w:r>
      <w:proofErr w:type="spellStart"/>
      <w:r w:rsidRPr="00C57832">
        <w:rPr>
          <w:szCs w:val="18"/>
          <w:lang w:val="fr-BE"/>
        </w:rPr>
        <w:t>Fost</w:t>
      </w:r>
      <w:proofErr w:type="spellEnd"/>
      <w:r w:rsidRPr="00C57832">
        <w:rPr>
          <w:szCs w:val="18"/>
          <w:lang w:val="fr-BE"/>
        </w:rPr>
        <w:t xml:space="preserve"> Plus met à disposition une application en ligne disposition, ainsi que les données de rapport y associées. </w:t>
      </w:r>
    </w:p>
    <w:p w14:paraId="530447D0" w14:textId="77777777" w:rsidR="00585875" w:rsidRPr="00C57832" w:rsidRDefault="00585875" w:rsidP="00585875">
      <w:pPr>
        <w:spacing w:after="0" w:line="240" w:lineRule="auto"/>
        <w:rPr>
          <w:szCs w:val="18"/>
          <w:lang w:val="fr-BE"/>
        </w:rPr>
      </w:pPr>
    </w:p>
    <w:p w14:paraId="6643D8F1" w14:textId="77777777" w:rsidR="00585875" w:rsidRPr="00C57832" w:rsidRDefault="00585875" w:rsidP="00585875">
      <w:pPr>
        <w:spacing w:after="0" w:line="240" w:lineRule="auto"/>
        <w:rPr>
          <w:szCs w:val="18"/>
          <w:lang w:val="fr-BE"/>
        </w:rPr>
      </w:pPr>
      <w:r w:rsidRPr="00C57832">
        <w:rPr>
          <w:szCs w:val="18"/>
          <w:lang w:val="fr-BE"/>
        </w:rPr>
        <w:t>Une explication détaillée de l’utilisation de l’application en ligne et la configuration système minimale sont disponibles sur le Site web.</w:t>
      </w:r>
    </w:p>
    <w:p w14:paraId="53E68259" w14:textId="77777777" w:rsidR="00585875" w:rsidRPr="00C57832" w:rsidRDefault="00585875" w:rsidP="00585875">
      <w:pPr>
        <w:spacing w:after="0" w:line="240" w:lineRule="auto"/>
        <w:rPr>
          <w:szCs w:val="18"/>
          <w:lang w:val="fr-BE"/>
        </w:rPr>
      </w:pPr>
      <w:r w:rsidRPr="00C57832">
        <w:rPr>
          <w:szCs w:val="18"/>
          <w:lang w:val="fr-BE"/>
        </w:rPr>
        <w:t xml:space="preserve"> </w:t>
      </w:r>
    </w:p>
    <w:p w14:paraId="4D236048" w14:textId="77777777" w:rsidR="00585875" w:rsidRPr="00C57832" w:rsidRDefault="00585875" w:rsidP="00585875">
      <w:pPr>
        <w:spacing w:after="0" w:line="240" w:lineRule="auto"/>
        <w:rPr>
          <w:szCs w:val="18"/>
          <w:lang w:val="fr-BE"/>
        </w:rPr>
      </w:pPr>
      <w:r w:rsidRPr="00C57832">
        <w:rPr>
          <w:szCs w:val="18"/>
          <w:lang w:val="fr-BE"/>
        </w:rPr>
        <w:t>Le flux des données est basé sur un principe de "workflow". C’est-à-dire que l’encodage et le contrôle des données de livraison nécessitent la collaboration de toutes les parties.</w:t>
      </w:r>
    </w:p>
    <w:p w14:paraId="61317CBA" w14:textId="77777777" w:rsidR="00585875" w:rsidRPr="00C57832" w:rsidRDefault="00585875" w:rsidP="00585875">
      <w:pPr>
        <w:pStyle w:val="Listenumros"/>
        <w:rPr>
          <w:lang w:val="fr-BE"/>
        </w:rPr>
      </w:pPr>
      <w:r w:rsidRPr="00C57832">
        <w:rPr>
          <w:szCs w:val="18"/>
          <w:lang w:val="fr-BE"/>
        </w:rPr>
        <w:t>Concrètement, le traitement des données entrantes s'opère comme suit :</w:t>
      </w:r>
    </w:p>
    <w:p w14:paraId="428ACBDA" w14:textId="6D8E5DC1" w:rsidR="00451860" w:rsidRPr="00C57832" w:rsidRDefault="00451860">
      <w:pPr>
        <w:spacing w:after="0" w:line="240" w:lineRule="auto"/>
        <w:rPr>
          <w:lang w:val="fr-BE"/>
        </w:rPr>
      </w:pPr>
    </w:p>
    <w:p w14:paraId="61BB53B1" w14:textId="77777777" w:rsidR="00585875" w:rsidRPr="00C57832" w:rsidRDefault="00585875" w:rsidP="00585875">
      <w:pPr>
        <w:pStyle w:val="Listenumros"/>
        <w:numPr>
          <w:ilvl w:val="0"/>
          <w:numId w:val="2"/>
        </w:numPr>
        <w:rPr>
          <w:szCs w:val="18"/>
          <w:lang w:val="fr-BE"/>
        </w:rPr>
      </w:pPr>
      <w:r w:rsidRPr="00C57832">
        <w:rPr>
          <w:szCs w:val="18"/>
          <w:lang w:val="fr-BE"/>
        </w:rPr>
        <w:t xml:space="preserve">À chaque livraison de matériau, un bon de livraison est encodé dans les applications en ligne (projet, collecteur, matériau, quantités, etc.). Le bon de livraison peut être imprimé. </w:t>
      </w:r>
    </w:p>
    <w:p w14:paraId="6A86A3E9" w14:textId="77777777" w:rsidR="00585875" w:rsidRPr="00C57832" w:rsidRDefault="00585875" w:rsidP="00585875">
      <w:pPr>
        <w:pStyle w:val="Listenumros"/>
        <w:numPr>
          <w:ilvl w:val="0"/>
          <w:numId w:val="2"/>
        </w:numPr>
        <w:rPr>
          <w:szCs w:val="18"/>
          <w:lang w:val="fr-BE"/>
        </w:rPr>
      </w:pPr>
      <w:r w:rsidRPr="00C57832">
        <w:rPr>
          <w:szCs w:val="18"/>
          <w:lang w:val="fr-BE"/>
        </w:rPr>
        <w:lastRenderedPageBreak/>
        <w:t xml:space="preserve">Le bon de livraison est ensuite complété, éventuellement corrigé et validé par toutes les parties dans le délai prévu sur le Site web.  Après ce délai, la validation s’effectue automatiquement dans la mesure où aucune correction n’a été demandée. </w:t>
      </w:r>
    </w:p>
    <w:p w14:paraId="4A4B1017" w14:textId="77777777" w:rsidR="00585875" w:rsidRPr="00C57832" w:rsidRDefault="00585875" w:rsidP="00585875">
      <w:pPr>
        <w:pStyle w:val="Listenumros"/>
        <w:numPr>
          <w:ilvl w:val="0"/>
          <w:numId w:val="2"/>
        </w:numPr>
        <w:rPr>
          <w:szCs w:val="18"/>
          <w:lang w:val="fr-BE"/>
        </w:rPr>
      </w:pPr>
      <w:r w:rsidRPr="00C57832">
        <w:rPr>
          <w:szCs w:val="18"/>
          <w:lang w:val="fr-BE"/>
        </w:rPr>
        <w:t>En cas de demande de correction, toutes les parties sont impliquées dans l'approbation des données.</w:t>
      </w:r>
    </w:p>
    <w:p w14:paraId="3CB51228" w14:textId="77777777" w:rsidR="00585875" w:rsidRPr="00C57832" w:rsidRDefault="00585875" w:rsidP="00585875">
      <w:pPr>
        <w:spacing w:before="240"/>
        <w:rPr>
          <w:szCs w:val="18"/>
          <w:lang w:val="fr-BE"/>
        </w:rPr>
      </w:pPr>
    </w:p>
    <w:p w14:paraId="09864D2B" w14:textId="77777777" w:rsidR="00585875" w:rsidRPr="00C57832" w:rsidRDefault="00585875" w:rsidP="00C76C93">
      <w:pPr>
        <w:pStyle w:val="Listepuces"/>
        <w:numPr>
          <w:ilvl w:val="0"/>
          <w:numId w:val="0"/>
        </w:numPr>
        <w:rPr>
          <w:lang w:val="fr-BE"/>
        </w:rPr>
      </w:pPr>
      <w:r w:rsidRPr="00C57832">
        <w:rPr>
          <w:lang w:val="fr-BE"/>
        </w:rPr>
        <w:t xml:space="preserve">L’application en ligne est fournie par </w:t>
      </w:r>
      <w:proofErr w:type="spellStart"/>
      <w:r w:rsidRPr="00C57832">
        <w:rPr>
          <w:lang w:val="fr-BE"/>
        </w:rPr>
        <w:t>Fost</w:t>
      </w:r>
      <w:proofErr w:type="spellEnd"/>
      <w:r w:rsidRPr="00C57832">
        <w:rPr>
          <w:lang w:val="fr-BE"/>
        </w:rPr>
        <w:t xml:space="preserve"> Plus, qui en garantit le bon fonctionnement et l’actualisation. </w:t>
      </w:r>
    </w:p>
    <w:p w14:paraId="004B2CC9" w14:textId="77777777" w:rsidR="00585875" w:rsidRPr="00C57832" w:rsidRDefault="00585875" w:rsidP="00C76C93">
      <w:pPr>
        <w:pStyle w:val="Listepuces"/>
        <w:numPr>
          <w:ilvl w:val="0"/>
          <w:numId w:val="0"/>
        </w:numPr>
        <w:rPr>
          <w:lang w:val="fr-BE"/>
        </w:rPr>
      </w:pPr>
    </w:p>
    <w:p w14:paraId="5F01DD68" w14:textId="77777777" w:rsidR="00585875" w:rsidRPr="00C57832" w:rsidRDefault="00585875" w:rsidP="00C76C93">
      <w:pPr>
        <w:pStyle w:val="Listepuces"/>
        <w:numPr>
          <w:ilvl w:val="0"/>
          <w:numId w:val="0"/>
        </w:numPr>
        <w:rPr>
          <w:lang w:val="fr-BE"/>
        </w:rPr>
      </w:pPr>
      <w:r w:rsidRPr="00C57832">
        <w:rPr>
          <w:lang w:val="fr-BE"/>
        </w:rPr>
        <w:t xml:space="preserve">Le prestataire de services tient compte que l’application en ligne et les procédures concernant ce système peuvent encore être modifiées pour des raisons légales ou d’autres raisons. </w:t>
      </w:r>
    </w:p>
    <w:p w14:paraId="6597B612" w14:textId="77777777" w:rsidR="00585875" w:rsidRPr="00C57832" w:rsidRDefault="00585875" w:rsidP="00C76C93">
      <w:pPr>
        <w:pStyle w:val="Listepuces"/>
        <w:numPr>
          <w:ilvl w:val="0"/>
          <w:numId w:val="0"/>
        </w:numPr>
        <w:rPr>
          <w:lang w:val="fr-BE"/>
        </w:rPr>
      </w:pPr>
    </w:p>
    <w:p w14:paraId="0830D038" w14:textId="77777777" w:rsidR="00585875" w:rsidRPr="00C57832" w:rsidRDefault="00585875" w:rsidP="00C76C93">
      <w:pPr>
        <w:pStyle w:val="Listepuces"/>
        <w:numPr>
          <w:ilvl w:val="0"/>
          <w:numId w:val="0"/>
        </w:numPr>
        <w:rPr>
          <w:lang w:val="fr-BE"/>
        </w:rPr>
      </w:pPr>
      <w:proofErr w:type="spellStart"/>
      <w:r w:rsidRPr="00C57832">
        <w:rPr>
          <w:lang w:val="fr-BE"/>
        </w:rPr>
        <w:t>Fost</w:t>
      </w:r>
      <w:proofErr w:type="spellEnd"/>
      <w:r w:rsidRPr="00C57832">
        <w:rPr>
          <w:lang w:val="fr-BE"/>
        </w:rPr>
        <w:t xml:space="preserve"> Plus procédera régulièrement à des contrôles de l’application de l’application en ligne par le prestataire de services. Le non-respect des procédures en vigueur, et plus particulièrement le non-respect des délais fixés, peut mener à l’application d’une amende.</w:t>
      </w:r>
    </w:p>
    <w:p w14:paraId="53B0BB9A" w14:textId="77777777" w:rsidR="00585875" w:rsidRPr="00C57832" w:rsidRDefault="00585875" w:rsidP="00585875">
      <w:pPr>
        <w:rPr>
          <w:szCs w:val="18"/>
          <w:lang w:val="fr-BE"/>
        </w:rPr>
      </w:pPr>
    </w:p>
    <w:p w14:paraId="081DBB4C" w14:textId="77777777" w:rsidR="00344452" w:rsidRPr="00C57832" w:rsidRDefault="00344452" w:rsidP="00344452">
      <w:pPr>
        <w:pStyle w:val="Listepuces"/>
        <w:numPr>
          <w:ilvl w:val="0"/>
          <w:numId w:val="0"/>
        </w:numPr>
        <w:ind w:left="199" w:hanging="199"/>
        <w:rPr>
          <w:lang w:val="fr-BE"/>
        </w:rPr>
      </w:pPr>
    </w:p>
    <w:p w14:paraId="6BD170AB" w14:textId="77777777" w:rsidR="00344452" w:rsidRPr="00C57832" w:rsidRDefault="00344452" w:rsidP="00344452">
      <w:pPr>
        <w:rPr>
          <w:lang w:val="fr-BE"/>
        </w:rPr>
      </w:pPr>
      <w:r w:rsidRPr="00C57832">
        <w:rPr>
          <w:lang w:val="fr-BE"/>
        </w:rPr>
        <w:t>Il convient de souligner que :</w:t>
      </w:r>
    </w:p>
    <w:p w14:paraId="5CDC3845" w14:textId="034F1889" w:rsidR="00344452" w:rsidRPr="00C57832" w:rsidRDefault="00344452" w:rsidP="00344452">
      <w:pPr>
        <w:pStyle w:val="Listepuces"/>
        <w:rPr>
          <w:szCs w:val="18"/>
          <w:lang w:val="fr-BE"/>
        </w:rPr>
      </w:pPr>
      <w:proofErr w:type="spellStart"/>
      <w:r w:rsidRPr="00C57832">
        <w:rPr>
          <w:szCs w:val="18"/>
          <w:lang w:val="fr-BE"/>
        </w:rPr>
        <w:t>Fost</w:t>
      </w:r>
      <w:proofErr w:type="spellEnd"/>
      <w:r w:rsidRPr="00C57832">
        <w:rPr>
          <w:szCs w:val="18"/>
          <w:lang w:val="fr-BE"/>
        </w:rPr>
        <w:t xml:space="preserve"> Plus se réserve les droits nécessaires, durant la durée du contrat, de prendre les mesures ou de réaliser des interventions afin de garantir la continuité, le bon fonctionnement et la sûreté de ses applications. Cela peut entraîner une mise à jour de certaines parties du logiciel de la part du prestataire de service.</w:t>
      </w:r>
    </w:p>
    <w:p w14:paraId="07679B7E" w14:textId="281268FB" w:rsidR="00344452" w:rsidRPr="00C57832" w:rsidRDefault="00344452" w:rsidP="00344452">
      <w:pPr>
        <w:pStyle w:val="Listepuces"/>
        <w:rPr>
          <w:szCs w:val="18"/>
          <w:lang w:val="fr-BE"/>
        </w:rPr>
      </w:pPr>
      <w:r w:rsidRPr="00C57832">
        <w:rPr>
          <w:szCs w:val="18"/>
          <w:lang w:val="fr-BE"/>
        </w:rPr>
        <w:t xml:space="preserve">Le prestataire de </w:t>
      </w:r>
      <w:r w:rsidR="001532DE" w:rsidRPr="00C57832">
        <w:rPr>
          <w:szCs w:val="18"/>
          <w:lang w:val="fr-BE"/>
        </w:rPr>
        <w:t>services s’engage</w:t>
      </w:r>
      <w:r w:rsidRPr="00C57832">
        <w:rPr>
          <w:szCs w:val="18"/>
          <w:lang w:val="fr-BE"/>
        </w:rPr>
        <w:t xml:space="preserve">, durant l’exécution du contrat, à réaliser aux moments opportuns les adaptations nécessaires à son environnement informatique pour toujours pouvoir répondre aux éventuelles modifications de la part de </w:t>
      </w:r>
      <w:proofErr w:type="spellStart"/>
      <w:r w:rsidRPr="00C57832">
        <w:rPr>
          <w:szCs w:val="18"/>
          <w:lang w:val="fr-BE"/>
        </w:rPr>
        <w:t>Fost</w:t>
      </w:r>
      <w:proofErr w:type="spellEnd"/>
      <w:r w:rsidRPr="00C57832">
        <w:rPr>
          <w:szCs w:val="18"/>
          <w:lang w:val="fr-BE"/>
        </w:rPr>
        <w:t xml:space="preserve"> Plus.</w:t>
      </w:r>
    </w:p>
    <w:p w14:paraId="2CC4DDE2" w14:textId="77777777" w:rsidR="00344452" w:rsidRPr="00C57832" w:rsidRDefault="00344452" w:rsidP="00344452">
      <w:pPr>
        <w:pStyle w:val="Listepuces"/>
        <w:rPr>
          <w:szCs w:val="18"/>
          <w:lang w:val="fr-BE"/>
        </w:rPr>
      </w:pPr>
      <w:r w:rsidRPr="00C57832">
        <w:rPr>
          <w:szCs w:val="18"/>
          <w:lang w:val="fr-BE"/>
        </w:rPr>
        <w:t>Si de telles modifications devaient être réalisées sur l’environnement IT du prestataire de services, celles-ci seraient intégralement à charge du prestataire de services.</w:t>
      </w:r>
    </w:p>
    <w:p w14:paraId="397C7F3E" w14:textId="4301F19C" w:rsidR="006B4934" w:rsidRPr="00C57832" w:rsidRDefault="006B4934">
      <w:pPr>
        <w:rPr>
          <w:lang w:val="fr-BE"/>
        </w:rPr>
      </w:pPr>
      <w:r w:rsidRPr="00C57832">
        <w:rPr>
          <w:lang w:val="fr-BE"/>
        </w:rPr>
        <w:t xml:space="preserve">Pour plus d'informations sur l'utilisation du système ou de l'application des procédures en vigueur, le soumissionnaire peut prendre contact avec </w:t>
      </w:r>
      <w:proofErr w:type="gramStart"/>
      <w:r w:rsidRPr="00C57832">
        <w:rPr>
          <w:lang w:val="fr-BE"/>
        </w:rPr>
        <w:t xml:space="preserve">le Helpdesk de </w:t>
      </w:r>
      <w:proofErr w:type="spellStart"/>
      <w:r w:rsidRPr="00C57832">
        <w:rPr>
          <w:lang w:val="fr-BE"/>
        </w:rPr>
        <w:t>Fost</w:t>
      </w:r>
      <w:proofErr w:type="spellEnd"/>
      <w:r w:rsidRPr="00C57832">
        <w:rPr>
          <w:lang w:val="fr-BE"/>
        </w:rPr>
        <w:t xml:space="preserve"> Plus</w:t>
      </w:r>
      <w:proofErr w:type="gramEnd"/>
      <w:r w:rsidRPr="00C57832">
        <w:rPr>
          <w:lang w:val="fr-BE"/>
        </w:rPr>
        <w:t xml:space="preserve"> au n° 02</w:t>
      </w:r>
      <w:r w:rsidR="0043211A" w:rsidRPr="00C57832">
        <w:rPr>
          <w:lang w:val="fr-BE"/>
        </w:rPr>
        <w:t xml:space="preserve"> 775 03 50.</w:t>
      </w:r>
    </w:p>
    <w:p w14:paraId="6F926456" w14:textId="77777777" w:rsidR="00671160" w:rsidRPr="00C57832" w:rsidRDefault="00671160" w:rsidP="00671160">
      <w:pPr>
        <w:spacing w:after="0" w:line="240" w:lineRule="auto"/>
        <w:rPr>
          <w:szCs w:val="18"/>
          <w:lang w:val="fr-BE"/>
        </w:rPr>
      </w:pPr>
      <w:r w:rsidRPr="00C57832">
        <w:rPr>
          <w:szCs w:val="18"/>
          <w:lang w:val="fr-BE"/>
        </w:rPr>
        <w:t xml:space="preserve">Le prestataire de services et ses éventuels sous-traitants doivent tenir compte du fait que, en raison notamment des développements technologiques l’application en ligne et les procédures sont susceptibles d’être modifiées à l’avenir. Les modifications qui sortent du cadre normal des mises à jour techniques, ne peuvent être réalisées qu’après une communication préalable entre </w:t>
      </w:r>
      <w:proofErr w:type="spellStart"/>
      <w:r w:rsidRPr="00C57832">
        <w:rPr>
          <w:szCs w:val="18"/>
          <w:lang w:val="fr-BE"/>
        </w:rPr>
        <w:t>Fost</w:t>
      </w:r>
      <w:proofErr w:type="spellEnd"/>
      <w:r w:rsidRPr="00C57832">
        <w:rPr>
          <w:szCs w:val="18"/>
          <w:lang w:val="fr-BE"/>
        </w:rPr>
        <w:t xml:space="preserve"> Plus et les représentants des intercommunales.</w:t>
      </w:r>
    </w:p>
    <w:p w14:paraId="1C9E671E" w14:textId="3CFDC623" w:rsidR="00671160" w:rsidRPr="00C57832" w:rsidRDefault="00671160">
      <w:pPr>
        <w:rPr>
          <w:lang w:val="fr-BE"/>
        </w:rPr>
      </w:pPr>
    </w:p>
    <w:p w14:paraId="397C7F53" w14:textId="51E0F5F2" w:rsidR="006B4934" w:rsidRPr="00E03B09" w:rsidRDefault="006B4934" w:rsidP="00BB166A">
      <w:pPr>
        <w:pStyle w:val="Paragraphedeliste"/>
        <w:numPr>
          <w:ilvl w:val="0"/>
          <w:numId w:val="24"/>
        </w:numPr>
        <w:rPr>
          <w:b/>
          <w:lang w:val="fr-BE" w:eastAsia="nl-NL"/>
        </w:rPr>
      </w:pPr>
      <w:bookmarkStart w:id="185" w:name="_Toc200945536"/>
      <w:bookmarkStart w:id="186" w:name="_Toc201025167"/>
      <w:bookmarkStart w:id="187" w:name="_Toc201587474"/>
      <w:bookmarkStart w:id="188" w:name="_Toc513197780"/>
      <w:r w:rsidRPr="00E03B09">
        <w:rPr>
          <w:b/>
          <w:sz w:val="24"/>
          <w:lang w:val="fr-BE" w:eastAsia="nl-NL"/>
        </w:rPr>
        <w:t>Formation</w:t>
      </w:r>
      <w:bookmarkEnd w:id="185"/>
      <w:bookmarkEnd w:id="186"/>
      <w:r w:rsidRPr="00E03B09">
        <w:rPr>
          <w:b/>
          <w:sz w:val="24"/>
          <w:lang w:val="fr-BE" w:eastAsia="nl-NL"/>
        </w:rPr>
        <w:t>s</w:t>
      </w:r>
      <w:bookmarkEnd w:id="187"/>
      <w:bookmarkEnd w:id="188"/>
    </w:p>
    <w:p w14:paraId="397C7F54" w14:textId="41D27AD1" w:rsidR="006B4934" w:rsidRPr="00C57832" w:rsidRDefault="006B4934">
      <w:pPr>
        <w:rPr>
          <w:lang w:val="fr-BE"/>
        </w:rPr>
      </w:pPr>
      <w:r w:rsidRPr="00C57832">
        <w:rPr>
          <w:lang w:val="fr-BE"/>
        </w:rPr>
        <w:t xml:space="preserve">Le pouvoir adjudicateur et/ou </w:t>
      </w:r>
      <w:proofErr w:type="spellStart"/>
      <w:r w:rsidRPr="00C57832">
        <w:rPr>
          <w:lang w:val="fr-BE"/>
        </w:rPr>
        <w:t>Fost</w:t>
      </w:r>
      <w:proofErr w:type="spellEnd"/>
      <w:r w:rsidRPr="00C57832">
        <w:rPr>
          <w:lang w:val="fr-BE"/>
        </w:rPr>
        <w:t xml:space="preserve"> Plus prévoient des formations, sur les règles de</w:t>
      </w:r>
      <w:r w:rsidR="00AB511C" w:rsidRPr="00C57832">
        <w:rPr>
          <w:lang w:val="fr-BE"/>
        </w:rPr>
        <w:t xml:space="preserve"> collecte</w:t>
      </w:r>
      <w:r w:rsidRPr="00C57832">
        <w:rPr>
          <w:lang w:val="fr-BE"/>
        </w:rPr>
        <w:t xml:space="preserve">, pour le personnel du prestataire de services. Le prestataire de services tient compte du fait qu’il devra prévoir au minimum tous les 2 ans une formation d’une demi-journée maximum pour son personnel. L’objectif est de garantir la qualité des prestations fournies dans le cadre de ce présent </w:t>
      </w:r>
      <w:r w:rsidR="005E5746" w:rsidRPr="00C57832">
        <w:rPr>
          <w:lang w:val="fr-BE"/>
        </w:rPr>
        <w:t>Marché</w:t>
      </w:r>
      <w:r w:rsidRPr="00C57832">
        <w:rPr>
          <w:lang w:val="fr-BE"/>
        </w:rPr>
        <w:t>.</w:t>
      </w:r>
    </w:p>
    <w:p w14:paraId="03361292" w14:textId="42BE84CF" w:rsidR="002F4835" w:rsidRPr="00E03B09" w:rsidRDefault="002F4835" w:rsidP="00BB166A">
      <w:pPr>
        <w:pStyle w:val="Paragraphedeliste"/>
        <w:numPr>
          <w:ilvl w:val="0"/>
          <w:numId w:val="24"/>
        </w:numPr>
        <w:rPr>
          <w:b/>
          <w:lang w:val="fr-BE" w:eastAsia="nl-NL"/>
        </w:rPr>
      </w:pPr>
      <w:bookmarkStart w:id="189" w:name="_Toc513197781"/>
      <w:r w:rsidRPr="00E03B09">
        <w:rPr>
          <w:b/>
          <w:sz w:val="24"/>
          <w:lang w:val="fr-BE" w:eastAsia="nl-NL"/>
        </w:rPr>
        <w:t>Protection de la vie privée</w:t>
      </w:r>
      <w:bookmarkEnd w:id="189"/>
    </w:p>
    <w:p w14:paraId="1FB3356C" w14:textId="111FC739" w:rsidR="009E267D" w:rsidRPr="00C57832" w:rsidRDefault="009E267D" w:rsidP="009E267D">
      <w:pPr>
        <w:rPr>
          <w:lang w:val="fr-BE"/>
        </w:rPr>
      </w:pPr>
      <w:r w:rsidRPr="00C57832">
        <w:rPr>
          <w:lang w:val="fr-BE"/>
        </w:rPr>
        <w:t xml:space="preserve">Le soumissionnaire reconnaît et accepte que des données personnelles de son personnel soient utilisées par le pouvoir adjudicateur. Ces données pourront être utilisées dans le cadre de l’examen des offres, la facturation, la gestion clients ainsi que des fins opérationnelles. Ces données peuvent être communiquées à </w:t>
      </w:r>
      <w:proofErr w:type="spellStart"/>
      <w:r w:rsidRPr="00C57832">
        <w:rPr>
          <w:lang w:val="fr-BE"/>
        </w:rPr>
        <w:t>Fost</w:t>
      </w:r>
      <w:proofErr w:type="spellEnd"/>
      <w:r w:rsidRPr="00C57832">
        <w:rPr>
          <w:lang w:val="fr-BE"/>
        </w:rPr>
        <w:t xml:space="preserve"> Plus qui garantira que les données soient traitées en accord avec la législation applicable sur la gestion et le traitement des données personnelles. Chaque personne dont des données personnelles sont traitées dans le cadre de ce Marché a un droit d’accès et de rectification de ces données personnelles et a le droit de s’opposer à l’utilisation par le pouvoir </w:t>
      </w:r>
      <w:r w:rsidRPr="00C57832">
        <w:rPr>
          <w:lang w:val="fr-BE"/>
        </w:rPr>
        <w:lastRenderedPageBreak/>
        <w:t xml:space="preserve">adjudicateur ou de </w:t>
      </w:r>
      <w:proofErr w:type="spellStart"/>
      <w:r w:rsidRPr="00C57832">
        <w:rPr>
          <w:lang w:val="fr-BE"/>
        </w:rPr>
        <w:t>Fost</w:t>
      </w:r>
      <w:proofErr w:type="spellEnd"/>
      <w:r w:rsidRPr="00C57832">
        <w:rPr>
          <w:lang w:val="fr-BE"/>
        </w:rPr>
        <w:t xml:space="preserve"> Plus de </w:t>
      </w:r>
      <w:r w:rsidR="00252680" w:rsidRPr="00C57832">
        <w:rPr>
          <w:lang w:val="fr-BE"/>
        </w:rPr>
        <w:t>leurs données personnelles</w:t>
      </w:r>
      <w:r w:rsidRPr="00C57832">
        <w:rPr>
          <w:lang w:val="fr-BE"/>
        </w:rPr>
        <w:t xml:space="preserve">. Ces droits peuvent être exercés en envoyer un e-mail à </w:t>
      </w:r>
      <w:r w:rsidR="007E0502" w:rsidRPr="00C57832">
        <w:rPr>
          <w:lang w:val="fr-BE"/>
        </w:rPr>
        <w:t>privacy@fostplus.be</w:t>
      </w:r>
      <w:r w:rsidRPr="00C57832">
        <w:rPr>
          <w:lang w:val="fr-BE"/>
        </w:rPr>
        <w:t xml:space="preserve">. </w:t>
      </w:r>
    </w:p>
    <w:p w14:paraId="39154594" w14:textId="14FD81BF" w:rsidR="009E267D" w:rsidRPr="00C57832" w:rsidRDefault="009E267D" w:rsidP="009E267D">
      <w:pPr>
        <w:rPr>
          <w:lang w:val="fr-BE"/>
        </w:rPr>
      </w:pPr>
      <w:r w:rsidRPr="00C57832">
        <w:rPr>
          <w:lang w:val="fr-BE"/>
        </w:rPr>
        <w:t xml:space="preserve">En soumettant une offre, le soumissionnaire confirme (1) qu’il a informé le personnel relevant du contenu de cet </w:t>
      </w:r>
      <w:r w:rsidRPr="0012737C">
        <w:rPr>
          <w:lang w:val="fr-BE"/>
        </w:rPr>
        <w:t>article 2</w:t>
      </w:r>
      <w:r w:rsidR="001617B2" w:rsidRPr="0012737C">
        <w:rPr>
          <w:lang w:val="fr-BE"/>
        </w:rPr>
        <w:t>9</w:t>
      </w:r>
      <w:r w:rsidRPr="0012737C">
        <w:rPr>
          <w:lang w:val="fr-BE"/>
        </w:rPr>
        <w:t xml:space="preserve"> et (2)</w:t>
      </w:r>
      <w:r w:rsidRPr="00C57832">
        <w:rPr>
          <w:lang w:val="fr-BE"/>
        </w:rPr>
        <w:t> qu’il a obtenu leur consentement éclairé, spécifique, clair et par écrit afin de pouvoir faire traiter leur</w:t>
      </w:r>
      <w:r w:rsidR="000F720F" w:rsidRPr="00C57832">
        <w:rPr>
          <w:lang w:val="fr-BE"/>
        </w:rPr>
        <w:t>s</w:t>
      </w:r>
      <w:r w:rsidRPr="00C57832">
        <w:rPr>
          <w:lang w:val="fr-BE"/>
        </w:rPr>
        <w:t xml:space="preserve"> données personnel</w:t>
      </w:r>
      <w:r w:rsidR="000F720F" w:rsidRPr="00C57832">
        <w:rPr>
          <w:lang w:val="fr-BE"/>
        </w:rPr>
        <w:t>le</w:t>
      </w:r>
      <w:r w:rsidRPr="00C57832">
        <w:rPr>
          <w:lang w:val="fr-BE"/>
        </w:rPr>
        <w:t>s dans le cadre du présent Marché.</w:t>
      </w:r>
    </w:p>
    <w:p w14:paraId="4A5BB598" w14:textId="5E4F291D" w:rsidR="00D57890" w:rsidRPr="00C57832" w:rsidRDefault="00D57890" w:rsidP="00AC5DB8">
      <w:pPr>
        <w:rPr>
          <w:lang w:val="fr-BE"/>
        </w:rPr>
      </w:pPr>
    </w:p>
    <w:p w14:paraId="6786ECF3" w14:textId="77777777" w:rsidR="002F4835" w:rsidRPr="00C57832" w:rsidRDefault="002F4835" w:rsidP="002F4835">
      <w:pPr>
        <w:rPr>
          <w:lang w:val="fr-BE"/>
        </w:rPr>
      </w:pPr>
    </w:p>
    <w:p w14:paraId="60F5B809" w14:textId="6D738159" w:rsidR="002F4835" w:rsidRPr="00C57832" w:rsidRDefault="002F4835">
      <w:pPr>
        <w:rPr>
          <w:lang w:val="fr-BE"/>
        </w:rPr>
      </w:pPr>
    </w:p>
    <w:p w14:paraId="6AC2E1D1" w14:textId="77777777" w:rsidR="002F4835" w:rsidRPr="00C57832" w:rsidRDefault="002F4835">
      <w:pPr>
        <w:rPr>
          <w:lang w:val="fr-BE"/>
        </w:rPr>
        <w:sectPr w:rsidR="002F4835" w:rsidRPr="00C57832">
          <w:pgSz w:w="11906" w:h="16838" w:code="9"/>
          <w:pgMar w:top="1418" w:right="1418" w:bottom="1418" w:left="1418" w:header="709" w:footer="709" w:gutter="0"/>
          <w:cols w:space="708"/>
          <w:docGrid w:linePitch="360"/>
        </w:sectPr>
      </w:pPr>
    </w:p>
    <w:p w14:paraId="1AD750FD" w14:textId="4ACD9B32" w:rsidR="007B25E5" w:rsidRPr="00C57832" w:rsidRDefault="006B4934" w:rsidP="00AC5DB8">
      <w:pPr>
        <w:pStyle w:val="Titre1"/>
        <w:rPr>
          <w:bCs w:val="0"/>
          <w:iCs/>
          <w:sz w:val="24"/>
          <w:szCs w:val="28"/>
          <w:lang w:val="fr-BE"/>
        </w:rPr>
      </w:pPr>
      <w:bookmarkStart w:id="190" w:name="_Toc200945537"/>
      <w:bookmarkStart w:id="191" w:name="_Toc201025168"/>
      <w:bookmarkStart w:id="192" w:name="_Toc201587475"/>
      <w:bookmarkStart w:id="193" w:name="_Toc513197782"/>
      <w:r w:rsidRPr="00C57832">
        <w:rPr>
          <w:rFonts w:eastAsia="Times New Roman"/>
          <w:lang w:val="fr-BE" w:eastAsia="nl-NL"/>
        </w:rPr>
        <w:lastRenderedPageBreak/>
        <w:t>PARTIE III : ANNEXES</w:t>
      </w:r>
      <w:bookmarkStart w:id="194" w:name="_Toc200945538"/>
      <w:bookmarkStart w:id="195" w:name="_Toc201025169"/>
      <w:bookmarkStart w:id="196" w:name="_Toc201587476"/>
      <w:bookmarkEnd w:id="190"/>
      <w:bookmarkEnd w:id="191"/>
      <w:bookmarkEnd w:id="192"/>
      <w:bookmarkEnd w:id="193"/>
    </w:p>
    <w:p w14:paraId="02BE42A5" w14:textId="77777777" w:rsidR="004D2C09" w:rsidRPr="00C57832" w:rsidRDefault="004D2C09">
      <w:pPr>
        <w:spacing w:after="0" w:line="240" w:lineRule="auto"/>
        <w:rPr>
          <w:rFonts w:cs="Arial"/>
          <w:bCs/>
          <w:iCs/>
          <w:sz w:val="24"/>
          <w:szCs w:val="28"/>
          <w:lang w:val="fr-BE"/>
        </w:rPr>
      </w:pPr>
      <w:r w:rsidRPr="00C57832">
        <w:rPr>
          <w:lang w:val="fr-BE"/>
        </w:rPr>
        <w:br w:type="page"/>
      </w:r>
    </w:p>
    <w:p w14:paraId="78821CB7" w14:textId="2D0A6480" w:rsidR="00FD4339" w:rsidRPr="00C57832" w:rsidRDefault="006B4934" w:rsidP="00FF67A6">
      <w:pPr>
        <w:pStyle w:val="Titre2"/>
        <w:rPr>
          <w:lang w:val="fr-BE"/>
        </w:rPr>
      </w:pPr>
      <w:bookmarkStart w:id="197" w:name="_Toc513197783"/>
      <w:r w:rsidRPr="00C57832">
        <w:rPr>
          <w:lang w:val="fr-BE"/>
        </w:rPr>
        <w:lastRenderedPageBreak/>
        <w:t xml:space="preserve">Annexe </w:t>
      </w:r>
      <w:proofErr w:type="gramStart"/>
      <w:r w:rsidRPr="00C57832">
        <w:rPr>
          <w:lang w:val="fr-BE"/>
        </w:rPr>
        <w:t>A:</w:t>
      </w:r>
      <w:proofErr w:type="gramEnd"/>
      <w:r w:rsidRPr="00C57832">
        <w:rPr>
          <w:lang w:val="fr-BE"/>
        </w:rPr>
        <w:t xml:space="preserve"> Formulaire de soumission</w:t>
      </w:r>
      <w:bookmarkEnd w:id="194"/>
      <w:bookmarkEnd w:id="195"/>
      <w:bookmarkEnd w:id="196"/>
      <w:bookmarkEnd w:id="197"/>
    </w:p>
    <w:p w14:paraId="656F22B3" w14:textId="77777777" w:rsidR="00FD4339" w:rsidRPr="00C57832" w:rsidRDefault="00FD4339" w:rsidP="00FD4339">
      <w:pPr>
        <w:spacing w:after="0"/>
        <w:rPr>
          <w:lang w:val="fr-BE" w:eastAsia="nl-NL"/>
        </w:rPr>
      </w:pPr>
    </w:p>
    <w:p w14:paraId="397C7F58" w14:textId="77777777" w:rsidR="006B4934" w:rsidRPr="00C57832" w:rsidRDefault="006B4934" w:rsidP="00E54871">
      <w:pPr>
        <w:pBdr>
          <w:bottom w:val="single" w:sz="4" w:space="1" w:color="auto"/>
        </w:pBdr>
        <w:spacing w:after="0"/>
        <w:jc w:val="center"/>
        <w:rPr>
          <w:lang w:val="fr-BE"/>
        </w:rPr>
      </w:pPr>
      <w:r w:rsidRPr="00C57832">
        <w:rPr>
          <w:lang w:val="fr-BE"/>
        </w:rPr>
        <w:t xml:space="preserve">Pouvoir adjudicateur: </w:t>
      </w:r>
      <w:r w:rsidR="00306B75" w:rsidRPr="00C57832">
        <w:rPr>
          <w:szCs w:val="18"/>
          <w:lang w:val="fr-BE"/>
        </w:rPr>
        <w:fldChar w:fldCharType="begin">
          <w:ffData>
            <w:name w:val=""/>
            <w:enabled/>
            <w:calcOnExit w:val="0"/>
            <w:textInput>
              <w:default w:val="&lt;Dénomination du pouvoir adjudicateur&gt;"/>
            </w:textInput>
          </w:ffData>
        </w:fldChar>
      </w:r>
      <w:r w:rsidR="006F32FF"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006F32FF" w:rsidRPr="00C57832">
        <w:rPr>
          <w:szCs w:val="18"/>
          <w:lang w:val="fr-BE"/>
        </w:rPr>
        <w:t>&lt;Dénomination du pouvoir adjudicateur&gt;</w:t>
      </w:r>
      <w:r w:rsidR="00306B75" w:rsidRPr="00C57832">
        <w:rPr>
          <w:szCs w:val="18"/>
          <w:lang w:val="fr-BE"/>
        </w:rPr>
        <w:fldChar w:fldCharType="end"/>
      </w:r>
    </w:p>
    <w:p w14:paraId="08EAB449" w14:textId="19E0A339" w:rsidR="001E432F" w:rsidRPr="00C57832" w:rsidRDefault="006B4934" w:rsidP="001E432F">
      <w:pPr>
        <w:pBdr>
          <w:bottom w:val="single" w:sz="4" w:space="1" w:color="auto"/>
        </w:pBdr>
        <w:jc w:val="center"/>
        <w:rPr>
          <w:lang w:val="fr-BE"/>
        </w:rPr>
      </w:pPr>
      <w:r w:rsidRPr="00C57832">
        <w:rPr>
          <w:lang w:val="fr-BE"/>
        </w:rPr>
        <w:t xml:space="preserve">Cahier des charges n°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le numéro du cahier des charges&gt;</w:t>
      </w:r>
      <w:r w:rsidR="00306B75" w:rsidRPr="00C57832">
        <w:rPr>
          <w:szCs w:val="18"/>
          <w:lang w:val="fr-BE"/>
        </w:rPr>
        <w:fldChar w:fldCharType="end"/>
      </w:r>
      <w:r w:rsidRPr="00C57832">
        <w:rPr>
          <w:lang w:val="fr-BE"/>
        </w:rPr>
        <w:t xml:space="preserve"> </w:t>
      </w:r>
      <w:r w:rsidR="004D2C09" w:rsidRPr="00C57832">
        <w:rPr>
          <w:color w:val="000000"/>
          <w:szCs w:val="18"/>
          <w:lang w:val="fr-BE"/>
        </w:rPr>
        <w:t>de procédure ouverte</w:t>
      </w:r>
      <w:r w:rsidR="004D2C09" w:rsidRPr="00C57832" w:rsidDel="004D2C09">
        <w:rPr>
          <w:lang w:val="fr-BE"/>
        </w:rPr>
        <w:t xml:space="preserve"> </w:t>
      </w:r>
      <w:r w:rsidRPr="00C57832">
        <w:rPr>
          <w:lang w:val="fr-BE"/>
        </w:rPr>
        <w:t xml:space="preserve">pour la collecte des PMC d’origine ménagère sur le territoire de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le nom de l'intercommunale</w:t>
      </w:r>
      <w:r w:rsidR="00306B75" w:rsidRPr="00C57832">
        <w:rPr>
          <w:szCs w:val="18"/>
          <w:lang w:val="fr-BE"/>
        </w:rPr>
        <w:fldChar w:fldCharType="end"/>
      </w:r>
      <w:r w:rsidR="004D2C09" w:rsidRPr="00C57832">
        <w:rPr>
          <w:szCs w:val="18"/>
          <w:lang w:val="fr-BE"/>
        </w:rPr>
        <w:t xml:space="preserve"> ou de la commune</w:t>
      </w:r>
      <w:r w:rsidRPr="00C57832">
        <w:rPr>
          <w:lang w:val="fr-BE"/>
        </w:rPr>
        <w:t>&gt;</w:t>
      </w:r>
    </w:p>
    <w:p w14:paraId="0CEFCDC4" w14:textId="77777777" w:rsidR="001617B2" w:rsidRPr="00C57832" w:rsidRDefault="001617B2" w:rsidP="001617B2">
      <w:pPr>
        <w:spacing w:after="0" w:line="240" w:lineRule="auto"/>
        <w:ind w:right="-1"/>
        <w:rPr>
          <w:rFonts w:eastAsia="Times New Roman"/>
          <w:sz w:val="20"/>
          <w:szCs w:val="20"/>
          <w:lang w:val="fr-BE" w:eastAsia="nl-NL"/>
        </w:rPr>
      </w:pPr>
      <w:r w:rsidRPr="00C57832">
        <w:rPr>
          <w:rFonts w:eastAsia="Times New Roman"/>
          <w:sz w:val="20"/>
          <w:szCs w:val="20"/>
          <w:lang w:val="fr-BE" w:eastAsia="nl-NL"/>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617B2" w:rsidRPr="00C57832" w14:paraId="29307A22" w14:textId="77777777" w:rsidTr="00E52272">
        <w:tc>
          <w:tcPr>
            <w:tcW w:w="9211" w:type="dxa"/>
            <w:tcBorders>
              <w:top w:val="single" w:sz="6" w:space="0" w:color="auto"/>
              <w:left w:val="single" w:sz="6" w:space="0" w:color="auto"/>
              <w:bottom w:val="single" w:sz="6" w:space="0" w:color="auto"/>
              <w:right w:val="single" w:sz="6" w:space="0" w:color="auto"/>
            </w:tcBorders>
          </w:tcPr>
          <w:p w14:paraId="66B58A8E" w14:textId="77777777" w:rsidR="001617B2" w:rsidRPr="00C57832" w:rsidRDefault="001617B2" w:rsidP="001617B2">
            <w:pPr>
              <w:spacing w:after="0" w:line="240" w:lineRule="auto"/>
              <w:rPr>
                <w:rFonts w:eastAsia="Times New Roman"/>
                <w:sz w:val="20"/>
                <w:szCs w:val="20"/>
                <w:lang w:val="fr-BE" w:eastAsia="nl-NL"/>
              </w:rPr>
            </w:pPr>
          </w:p>
          <w:p w14:paraId="5D9145D2" w14:textId="77777777" w:rsidR="001617B2" w:rsidRPr="00C57832" w:rsidRDefault="001617B2" w:rsidP="001617B2">
            <w:pPr>
              <w:spacing w:after="0" w:line="240" w:lineRule="auto"/>
              <w:jc w:val="right"/>
              <w:rPr>
                <w:rFonts w:eastAsia="Times New Roman"/>
                <w:sz w:val="20"/>
                <w:szCs w:val="20"/>
                <w:lang w:val="fr-BE" w:eastAsia="nl-NL"/>
              </w:rPr>
            </w:pPr>
            <w:r w:rsidRPr="00C57832">
              <w:rPr>
                <w:rFonts w:eastAsia="Times New Roman"/>
                <w:sz w:val="20"/>
                <w:szCs w:val="20"/>
                <w:lang w:val="fr-BE" w:eastAsia="nl-NL"/>
              </w:rPr>
              <w:t>(dénomination complète)</w:t>
            </w:r>
          </w:p>
        </w:tc>
      </w:tr>
    </w:tbl>
    <w:p w14:paraId="43CA32F5" w14:textId="77777777" w:rsidR="001617B2" w:rsidRPr="00C57832" w:rsidRDefault="001617B2" w:rsidP="001617B2">
      <w:pPr>
        <w:spacing w:after="0" w:line="240" w:lineRule="auto"/>
        <w:ind w:right="-1"/>
        <w:rPr>
          <w:rFonts w:eastAsia="Times New Roman"/>
          <w:sz w:val="20"/>
          <w:szCs w:val="20"/>
          <w:lang w:val="fr-BE" w:eastAsia="nl-NL"/>
        </w:rPr>
      </w:pPr>
    </w:p>
    <w:p w14:paraId="3F11BB38" w14:textId="77777777" w:rsidR="001617B2" w:rsidRPr="00C57832" w:rsidRDefault="001617B2" w:rsidP="001617B2">
      <w:pPr>
        <w:spacing w:after="0" w:line="240" w:lineRule="auto"/>
        <w:ind w:right="-1"/>
        <w:rPr>
          <w:rFonts w:eastAsia="Times New Roman"/>
          <w:sz w:val="20"/>
          <w:szCs w:val="20"/>
          <w:lang w:val="fr-BE" w:eastAsia="nl-NL"/>
        </w:rPr>
      </w:pPr>
      <w:proofErr w:type="gramStart"/>
      <w:r w:rsidRPr="00C57832">
        <w:rPr>
          <w:rFonts w:eastAsia="Times New Roman"/>
          <w:sz w:val="20"/>
          <w:szCs w:val="20"/>
          <w:lang w:val="fr-BE" w:eastAsia="nl-NL"/>
        </w:rPr>
        <w:t>dont</w:t>
      </w:r>
      <w:proofErr w:type="gramEnd"/>
      <w:r w:rsidRPr="00C57832">
        <w:rPr>
          <w:rFonts w:eastAsia="Times New Roman"/>
          <w:sz w:val="20"/>
          <w:szCs w:val="20"/>
          <w:lang w:val="fr-BE" w:eastAsia="nl-NL"/>
        </w:rPr>
        <w:t xml:space="preserve"> l’adresse est :</w:t>
      </w:r>
    </w:p>
    <w:tbl>
      <w:tblPr>
        <w:tblW w:w="0" w:type="auto"/>
        <w:tblLayout w:type="fixed"/>
        <w:tblCellMar>
          <w:left w:w="70" w:type="dxa"/>
          <w:right w:w="70" w:type="dxa"/>
        </w:tblCellMar>
        <w:tblLook w:val="0000" w:firstRow="0" w:lastRow="0" w:firstColumn="0" w:lastColumn="0" w:noHBand="0" w:noVBand="0"/>
      </w:tblPr>
      <w:tblGrid>
        <w:gridCol w:w="9211"/>
      </w:tblGrid>
      <w:tr w:rsidR="001617B2" w:rsidRPr="00C57832" w14:paraId="7A5B89BD" w14:textId="77777777" w:rsidTr="00E52272">
        <w:tc>
          <w:tcPr>
            <w:tcW w:w="9211" w:type="dxa"/>
            <w:tcBorders>
              <w:top w:val="single" w:sz="6" w:space="0" w:color="auto"/>
              <w:left w:val="single" w:sz="6" w:space="0" w:color="auto"/>
              <w:bottom w:val="single" w:sz="6" w:space="0" w:color="auto"/>
              <w:right w:val="single" w:sz="6" w:space="0" w:color="auto"/>
            </w:tcBorders>
          </w:tcPr>
          <w:p w14:paraId="2648217F" w14:textId="77777777" w:rsidR="001617B2" w:rsidRPr="00C57832" w:rsidRDefault="001617B2" w:rsidP="001617B2">
            <w:pPr>
              <w:spacing w:after="0" w:line="240" w:lineRule="auto"/>
              <w:jc w:val="right"/>
              <w:rPr>
                <w:rFonts w:eastAsia="Times New Roman"/>
                <w:sz w:val="20"/>
                <w:szCs w:val="20"/>
                <w:lang w:val="fr-BE" w:eastAsia="nl-NL"/>
              </w:rPr>
            </w:pPr>
          </w:p>
          <w:p w14:paraId="3839C9EC" w14:textId="77777777" w:rsidR="001617B2" w:rsidRPr="00C57832" w:rsidRDefault="001617B2" w:rsidP="001617B2">
            <w:pPr>
              <w:spacing w:after="0" w:line="240" w:lineRule="auto"/>
              <w:jc w:val="right"/>
              <w:rPr>
                <w:rFonts w:eastAsia="Times New Roman"/>
                <w:sz w:val="20"/>
                <w:szCs w:val="20"/>
                <w:lang w:val="fr-BE" w:eastAsia="nl-NL"/>
              </w:rPr>
            </w:pPr>
            <w:r w:rsidRPr="00C57832">
              <w:rPr>
                <w:rFonts w:eastAsia="Times New Roman"/>
                <w:sz w:val="20"/>
                <w:szCs w:val="20"/>
                <w:lang w:val="fr-BE" w:eastAsia="nl-NL"/>
              </w:rPr>
              <w:t>(</w:t>
            </w:r>
            <w:proofErr w:type="gramStart"/>
            <w:r w:rsidRPr="00C57832">
              <w:rPr>
                <w:rFonts w:eastAsia="Times New Roman"/>
                <w:sz w:val="20"/>
                <w:szCs w:val="20"/>
                <w:lang w:val="fr-BE" w:eastAsia="nl-NL"/>
              </w:rPr>
              <w:t>rue</w:t>
            </w:r>
            <w:proofErr w:type="gramEnd"/>
            <w:r w:rsidRPr="00C57832">
              <w:rPr>
                <w:rFonts w:eastAsia="Times New Roman"/>
                <w:sz w:val="20"/>
                <w:szCs w:val="20"/>
                <w:lang w:val="fr-BE" w:eastAsia="nl-NL"/>
              </w:rPr>
              <w:t>)</w:t>
            </w:r>
          </w:p>
          <w:p w14:paraId="1C0432D6" w14:textId="77777777" w:rsidR="001617B2" w:rsidRPr="00C57832" w:rsidRDefault="001617B2" w:rsidP="001617B2">
            <w:pPr>
              <w:spacing w:after="0" w:line="240" w:lineRule="auto"/>
              <w:jc w:val="right"/>
              <w:rPr>
                <w:rFonts w:eastAsia="Times New Roman"/>
                <w:sz w:val="20"/>
                <w:szCs w:val="20"/>
                <w:lang w:val="fr-BE" w:eastAsia="nl-NL"/>
              </w:rPr>
            </w:pPr>
          </w:p>
          <w:p w14:paraId="681EF5E2" w14:textId="77777777" w:rsidR="001617B2" w:rsidRPr="00C57832" w:rsidRDefault="001617B2" w:rsidP="001617B2">
            <w:pPr>
              <w:spacing w:after="0" w:line="240" w:lineRule="auto"/>
              <w:jc w:val="right"/>
              <w:rPr>
                <w:rFonts w:eastAsia="Times New Roman"/>
                <w:sz w:val="20"/>
                <w:szCs w:val="20"/>
                <w:lang w:val="fr-BE" w:eastAsia="nl-NL"/>
              </w:rPr>
            </w:pPr>
            <w:r w:rsidRPr="00C57832">
              <w:rPr>
                <w:rFonts w:eastAsia="Times New Roman"/>
                <w:sz w:val="20"/>
                <w:szCs w:val="20"/>
                <w:lang w:val="fr-BE" w:eastAsia="nl-NL"/>
              </w:rPr>
              <w:t>(</w:t>
            </w:r>
            <w:proofErr w:type="gramStart"/>
            <w:r w:rsidRPr="00C57832">
              <w:rPr>
                <w:rFonts w:eastAsia="Times New Roman"/>
                <w:sz w:val="20"/>
                <w:szCs w:val="20"/>
                <w:lang w:val="fr-BE" w:eastAsia="nl-NL"/>
              </w:rPr>
              <w:t>code</w:t>
            </w:r>
            <w:proofErr w:type="gramEnd"/>
            <w:r w:rsidRPr="00C57832">
              <w:rPr>
                <w:rFonts w:eastAsia="Times New Roman"/>
                <w:sz w:val="20"/>
                <w:szCs w:val="20"/>
                <w:lang w:val="fr-BE" w:eastAsia="nl-NL"/>
              </w:rPr>
              <w:t xml:space="preserve"> postal et commune)</w:t>
            </w:r>
          </w:p>
          <w:p w14:paraId="06CBDD82" w14:textId="77777777" w:rsidR="001617B2" w:rsidRPr="00C57832" w:rsidRDefault="001617B2" w:rsidP="001617B2">
            <w:pPr>
              <w:spacing w:after="0" w:line="240" w:lineRule="auto"/>
              <w:jc w:val="right"/>
              <w:rPr>
                <w:rFonts w:eastAsia="Times New Roman"/>
                <w:sz w:val="20"/>
                <w:szCs w:val="20"/>
                <w:lang w:val="fr-BE" w:eastAsia="nl-NL"/>
              </w:rPr>
            </w:pPr>
          </w:p>
          <w:p w14:paraId="55FD881C" w14:textId="77777777" w:rsidR="001617B2" w:rsidRPr="00C57832" w:rsidRDefault="001617B2" w:rsidP="001617B2">
            <w:pPr>
              <w:spacing w:after="60" w:line="240" w:lineRule="auto"/>
              <w:jc w:val="right"/>
              <w:rPr>
                <w:rFonts w:eastAsia="Times New Roman"/>
                <w:sz w:val="20"/>
                <w:szCs w:val="20"/>
                <w:lang w:val="fr-BE" w:eastAsia="nl-NL"/>
              </w:rPr>
            </w:pPr>
            <w:r w:rsidRPr="00C57832">
              <w:rPr>
                <w:rFonts w:eastAsia="Times New Roman"/>
                <w:sz w:val="20"/>
                <w:szCs w:val="20"/>
                <w:lang w:val="fr-BE" w:eastAsia="nl-NL"/>
              </w:rPr>
              <w:t xml:space="preserve">(pays) </w:t>
            </w:r>
          </w:p>
        </w:tc>
      </w:tr>
    </w:tbl>
    <w:p w14:paraId="24C00342" w14:textId="77777777" w:rsidR="001617B2" w:rsidRPr="00C57832" w:rsidRDefault="001617B2" w:rsidP="001617B2">
      <w:pPr>
        <w:spacing w:after="0" w:line="240" w:lineRule="auto"/>
        <w:ind w:right="-1"/>
        <w:rPr>
          <w:rFonts w:eastAsia="Times New Roman"/>
          <w:sz w:val="20"/>
          <w:szCs w:val="20"/>
          <w:lang w:val="fr-BE" w:eastAsia="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617B2" w:rsidRPr="007174D8" w14:paraId="6E201A63" w14:textId="77777777" w:rsidTr="00E52272">
        <w:tc>
          <w:tcPr>
            <w:tcW w:w="4181" w:type="dxa"/>
          </w:tcPr>
          <w:p w14:paraId="7549CE85" w14:textId="77777777" w:rsidR="001617B2" w:rsidRPr="00C57832" w:rsidRDefault="001617B2" w:rsidP="001617B2">
            <w:pPr>
              <w:spacing w:after="0" w:line="240" w:lineRule="auto"/>
              <w:rPr>
                <w:rFonts w:eastAsia="Times New Roman"/>
                <w:sz w:val="20"/>
                <w:szCs w:val="20"/>
                <w:lang w:val="fr-BE" w:eastAsia="nl-NL"/>
              </w:rPr>
            </w:pPr>
            <w:r w:rsidRPr="00C57832">
              <w:rPr>
                <w:rFonts w:eastAsia="Times New Roman"/>
                <w:sz w:val="20"/>
                <w:szCs w:val="20"/>
                <w:lang w:val="fr-BE" w:eastAsia="nl-NL"/>
              </w:rPr>
              <w:t xml:space="preserve">immatriculée à la </w:t>
            </w:r>
            <w:r w:rsidRPr="00C57832">
              <w:rPr>
                <w:rFonts w:eastAsia="Times New Roman"/>
                <w:bCs/>
                <w:sz w:val="20"/>
                <w:szCs w:val="20"/>
                <w:lang w:val="fr-BE" w:eastAsia="nl-NL"/>
              </w:rPr>
              <w:t>Banque Carrefour des Entreprises</w:t>
            </w:r>
            <w:r w:rsidRPr="00C57832">
              <w:rPr>
                <w:rFonts w:eastAsia="Times New Roman"/>
                <w:sz w:val="20"/>
                <w:szCs w:val="20"/>
                <w:lang w:val="fr-BE" w:eastAsia="nl-NL"/>
              </w:rPr>
              <w:t xml:space="preserve"> sous le numéro :</w:t>
            </w:r>
          </w:p>
        </w:tc>
        <w:tc>
          <w:tcPr>
            <w:tcW w:w="5029" w:type="dxa"/>
            <w:tcBorders>
              <w:top w:val="single" w:sz="6" w:space="0" w:color="auto"/>
              <w:left w:val="single" w:sz="6" w:space="0" w:color="auto"/>
              <w:bottom w:val="single" w:sz="6" w:space="0" w:color="auto"/>
              <w:right w:val="single" w:sz="6" w:space="0" w:color="auto"/>
            </w:tcBorders>
          </w:tcPr>
          <w:p w14:paraId="2B84B276" w14:textId="77777777" w:rsidR="001617B2" w:rsidRPr="00C57832" w:rsidRDefault="001617B2" w:rsidP="001617B2">
            <w:pPr>
              <w:spacing w:after="0" w:line="240" w:lineRule="auto"/>
              <w:rPr>
                <w:rFonts w:eastAsia="Times New Roman"/>
                <w:sz w:val="20"/>
                <w:szCs w:val="20"/>
                <w:lang w:val="fr-BE" w:eastAsia="nl-NL"/>
              </w:rPr>
            </w:pPr>
          </w:p>
          <w:p w14:paraId="1CBF334F" w14:textId="77777777" w:rsidR="001617B2" w:rsidRPr="00C57832" w:rsidRDefault="001617B2" w:rsidP="001617B2">
            <w:pPr>
              <w:spacing w:after="0" w:line="240" w:lineRule="auto"/>
              <w:rPr>
                <w:rFonts w:eastAsia="Times New Roman"/>
                <w:sz w:val="20"/>
                <w:szCs w:val="20"/>
                <w:lang w:val="fr-BE" w:eastAsia="nl-NL"/>
              </w:rPr>
            </w:pPr>
          </w:p>
        </w:tc>
      </w:tr>
    </w:tbl>
    <w:p w14:paraId="60A14D1C" w14:textId="77777777" w:rsidR="001617B2" w:rsidRPr="00C57832" w:rsidRDefault="001617B2" w:rsidP="001617B2">
      <w:pPr>
        <w:spacing w:after="0" w:line="240" w:lineRule="auto"/>
        <w:ind w:right="-1"/>
        <w:rPr>
          <w:rFonts w:eastAsia="Times New Roman"/>
          <w:sz w:val="20"/>
          <w:szCs w:val="20"/>
          <w:lang w:val="fr-BE" w:eastAsia="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617B2" w:rsidRPr="00C57832" w14:paraId="43AD5D5C" w14:textId="77777777" w:rsidTr="00E52272">
        <w:tc>
          <w:tcPr>
            <w:tcW w:w="4181" w:type="dxa"/>
          </w:tcPr>
          <w:p w14:paraId="271822D6" w14:textId="548830C2" w:rsidR="001617B2" w:rsidRPr="00C57832" w:rsidRDefault="001617B2" w:rsidP="00AF434C">
            <w:pPr>
              <w:spacing w:after="0" w:line="240" w:lineRule="auto"/>
              <w:rPr>
                <w:rFonts w:eastAsia="Times New Roman"/>
                <w:i/>
                <w:sz w:val="20"/>
                <w:szCs w:val="20"/>
                <w:lang w:val="fr-BE" w:eastAsia="nl-NL"/>
              </w:rPr>
            </w:pPr>
            <w:r w:rsidRPr="00C57832">
              <w:rPr>
                <w:rFonts w:eastAsia="Times New Roman"/>
                <w:sz w:val="20"/>
                <w:szCs w:val="20"/>
                <w:lang w:val="fr-BE" w:eastAsia="nl-NL"/>
              </w:rPr>
              <w:t>et pour laquelle Monsieur/Madame</w:t>
            </w:r>
            <w:r w:rsidR="00AF434C" w:rsidRPr="00C57832">
              <w:rPr>
                <w:rStyle w:val="Appelnotedebasdep"/>
                <w:rFonts w:eastAsia="Times New Roman"/>
                <w:sz w:val="20"/>
                <w:szCs w:val="20"/>
                <w:lang w:val="fr-BE" w:eastAsia="nl-NL"/>
              </w:rPr>
              <w:footnoteReference w:id="20"/>
            </w:r>
          </w:p>
        </w:tc>
        <w:tc>
          <w:tcPr>
            <w:tcW w:w="5029" w:type="dxa"/>
            <w:tcBorders>
              <w:top w:val="single" w:sz="6" w:space="0" w:color="auto"/>
              <w:left w:val="single" w:sz="6" w:space="0" w:color="auto"/>
              <w:bottom w:val="single" w:sz="6" w:space="0" w:color="auto"/>
              <w:right w:val="single" w:sz="6" w:space="0" w:color="auto"/>
            </w:tcBorders>
          </w:tcPr>
          <w:p w14:paraId="63FD224A" w14:textId="77777777" w:rsidR="001617B2" w:rsidRPr="00C57832" w:rsidRDefault="001617B2" w:rsidP="001617B2">
            <w:pPr>
              <w:spacing w:before="60" w:after="60" w:line="240" w:lineRule="auto"/>
              <w:jc w:val="right"/>
              <w:rPr>
                <w:rFonts w:eastAsia="Times New Roman"/>
                <w:sz w:val="20"/>
                <w:szCs w:val="20"/>
                <w:lang w:val="fr-BE" w:eastAsia="nl-NL"/>
              </w:rPr>
            </w:pPr>
            <w:r w:rsidRPr="00C57832">
              <w:rPr>
                <w:rFonts w:eastAsia="Times New Roman"/>
                <w:sz w:val="20"/>
                <w:szCs w:val="20"/>
                <w:lang w:val="fr-BE" w:eastAsia="nl-NL"/>
              </w:rPr>
              <w:t>(</w:t>
            </w:r>
            <w:proofErr w:type="gramStart"/>
            <w:r w:rsidRPr="00C57832">
              <w:rPr>
                <w:rFonts w:eastAsia="Times New Roman"/>
                <w:sz w:val="20"/>
                <w:szCs w:val="20"/>
                <w:lang w:val="fr-BE" w:eastAsia="nl-NL"/>
              </w:rPr>
              <w:t>nom</w:t>
            </w:r>
            <w:proofErr w:type="gramEnd"/>
            <w:r w:rsidRPr="00C57832">
              <w:rPr>
                <w:rFonts w:eastAsia="Times New Roman"/>
                <w:sz w:val="20"/>
                <w:szCs w:val="20"/>
                <w:lang w:val="fr-BE" w:eastAsia="nl-NL"/>
              </w:rPr>
              <w:t>)</w:t>
            </w:r>
          </w:p>
          <w:p w14:paraId="011953B8" w14:textId="77777777" w:rsidR="001617B2" w:rsidRPr="00C57832" w:rsidRDefault="001617B2" w:rsidP="001617B2">
            <w:pPr>
              <w:spacing w:after="60" w:line="240" w:lineRule="auto"/>
              <w:jc w:val="right"/>
              <w:rPr>
                <w:rFonts w:eastAsia="Times New Roman"/>
                <w:sz w:val="20"/>
                <w:szCs w:val="20"/>
                <w:lang w:val="fr-BE" w:eastAsia="nl-NL"/>
              </w:rPr>
            </w:pPr>
            <w:r w:rsidRPr="00C57832">
              <w:rPr>
                <w:rFonts w:eastAsia="Times New Roman"/>
                <w:sz w:val="20"/>
                <w:szCs w:val="20"/>
                <w:lang w:val="fr-BE" w:eastAsia="nl-NL"/>
              </w:rPr>
              <w:t>(fonction)</w:t>
            </w:r>
          </w:p>
        </w:tc>
      </w:tr>
    </w:tbl>
    <w:p w14:paraId="6CE37002" w14:textId="77777777" w:rsidR="001617B2" w:rsidRPr="00C57832" w:rsidRDefault="001617B2" w:rsidP="001617B2">
      <w:pPr>
        <w:spacing w:after="0" w:line="240" w:lineRule="auto"/>
        <w:ind w:right="-1"/>
        <w:rPr>
          <w:rFonts w:eastAsia="Times New Roman"/>
          <w:sz w:val="20"/>
          <w:szCs w:val="20"/>
          <w:lang w:val="fr-BE" w:eastAsia="nl-NL"/>
        </w:rPr>
      </w:pPr>
    </w:p>
    <w:p w14:paraId="6C4CDD02" w14:textId="77777777" w:rsidR="001617B2" w:rsidRPr="00C57832" w:rsidRDefault="001617B2" w:rsidP="001617B2">
      <w:pPr>
        <w:spacing w:after="0" w:line="240" w:lineRule="auto"/>
        <w:ind w:right="-1"/>
        <w:rPr>
          <w:rFonts w:eastAsia="Times New Roman"/>
          <w:sz w:val="20"/>
          <w:szCs w:val="20"/>
          <w:lang w:val="fr-BE" w:eastAsia="nl-NL"/>
        </w:rPr>
      </w:pPr>
      <w:proofErr w:type="gramStart"/>
      <w:r w:rsidRPr="00C57832">
        <w:rPr>
          <w:rFonts w:eastAsia="Times New Roman"/>
          <w:sz w:val="20"/>
          <w:szCs w:val="20"/>
          <w:lang w:val="fr-BE" w:eastAsia="nl-NL"/>
        </w:rPr>
        <w:t>domicilié</w:t>
      </w:r>
      <w:proofErr w:type="gramEnd"/>
      <w:r w:rsidRPr="00C57832">
        <w:rPr>
          <w:rFonts w:eastAsia="Times New Roman"/>
          <w:sz w:val="20"/>
          <w:szCs w:val="20"/>
          <w:lang w:val="fr-BE" w:eastAsia="nl-NL"/>
        </w:rPr>
        <w:t>(e)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617B2" w:rsidRPr="00C57832" w14:paraId="6EB3A0BF" w14:textId="77777777" w:rsidTr="00E52272">
        <w:tc>
          <w:tcPr>
            <w:tcW w:w="9211" w:type="dxa"/>
          </w:tcPr>
          <w:p w14:paraId="5BC77F4D" w14:textId="77777777" w:rsidR="001617B2" w:rsidRPr="00C57832" w:rsidRDefault="001617B2" w:rsidP="001617B2">
            <w:pPr>
              <w:spacing w:after="0" w:line="240" w:lineRule="auto"/>
              <w:jc w:val="right"/>
              <w:rPr>
                <w:rFonts w:eastAsia="Times New Roman"/>
                <w:sz w:val="20"/>
                <w:szCs w:val="20"/>
                <w:lang w:val="fr-BE" w:eastAsia="nl-NL"/>
              </w:rPr>
            </w:pPr>
          </w:p>
          <w:p w14:paraId="0F6B8444" w14:textId="77777777" w:rsidR="001617B2" w:rsidRPr="00C57832" w:rsidRDefault="001617B2" w:rsidP="001617B2">
            <w:pPr>
              <w:spacing w:after="0" w:line="240" w:lineRule="auto"/>
              <w:jc w:val="right"/>
              <w:rPr>
                <w:rFonts w:eastAsia="Times New Roman"/>
                <w:sz w:val="20"/>
                <w:szCs w:val="20"/>
                <w:lang w:val="fr-BE" w:eastAsia="nl-NL"/>
              </w:rPr>
            </w:pPr>
            <w:r w:rsidRPr="00C57832">
              <w:rPr>
                <w:rFonts w:eastAsia="Times New Roman"/>
                <w:sz w:val="20"/>
                <w:szCs w:val="20"/>
                <w:lang w:val="fr-BE" w:eastAsia="nl-NL"/>
              </w:rPr>
              <w:t>(</w:t>
            </w:r>
            <w:proofErr w:type="gramStart"/>
            <w:r w:rsidRPr="00C57832">
              <w:rPr>
                <w:rFonts w:eastAsia="Times New Roman"/>
                <w:sz w:val="20"/>
                <w:szCs w:val="20"/>
                <w:lang w:val="fr-BE" w:eastAsia="nl-NL"/>
              </w:rPr>
              <w:t>rue</w:t>
            </w:r>
            <w:proofErr w:type="gramEnd"/>
            <w:r w:rsidRPr="00C57832">
              <w:rPr>
                <w:rFonts w:eastAsia="Times New Roman"/>
                <w:sz w:val="20"/>
                <w:szCs w:val="20"/>
                <w:lang w:val="fr-BE" w:eastAsia="nl-NL"/>
              </w:rPr>
              <w:t>)</w:t>
            </w:r>
          </w:p>
          <w:p w14:paraId="2ABDEFA2" w14:textId="77777777" w:rsidR="001617B2" w:rsidRPr="00C57832" w:rsidRDefault="001617B2" w:rsidP="001617B2">
            <w:pPr>
              <w:spacing w:after="0" w:line="240" w:lineRule="auto"/>
              <w:jc w:val="right"/>
              <w:rPr>
                <w:rFonts w:eastAsia="Times New Roman"/>
                <w:sz w:val="20"/>
                <w:szCs w:val="20"/>
                <w:lang w:val="fr-BE" w:eastAsia="nl-NL"/>
              </w:rPr>
            </w:pPr>
          </w:p>
          <w:p w14:paraId="539EE5E7" w14:textId="77777777" w:rsidR="001617B2" w:rsidRPr="00C57832" w:rsidRDefault="001617B2" w:rsidP="001617B2">
            <w:pPr>
              <w:spacing w:after="0" w:line="240" w:lineRule="auto"/>
              <w:jc w:val="right"/>
              <w:rPr>
                <w:rFonts w:eastAsia="Times New Roman"/>
                <w:sz w:val="20"/>
                <w:szCs w:val="20"/>
                <w:lang w:val="fr-BE" w:eastAsia="nl-NL"/>
              </w:rPr>
            </w:pPr>
            <w:r w:rsidRPr="00C57832">
              <w:rPr>
                <w:rFonts w:eastAsia="Times New Roman"/>
                <w:sz w:val="20"/>
                <w:szCs w:val="20"/>
                <w:lang w:val="fr-BE" w:eastAsia="nl-NL"/>
              </w:rPr>
              <w:t>(</w:t>
            </w:r>
            <w:proofErr w:type="gramStart"/>
            <w:r w:rsidRPr="00C57832">
              <w:rPr>
                <w:rFonts w:eastAsia="Times New Roman"/>
                <w:sz w:val="20"/>
                <w:szCs w:val="20"/>
                <w:lang w:val="fr-BE" w:eastAsia="nl-NL"/>
              </w:rPr>
              <w:t>code</w:t>
            </w:r>
            <w:proofErr w:type="gramEnd"/>
            <w:r w:rsidRPr="00C57832">
              <w:rPr>
                <w:rFonts w:eastAsia="Times New Roman"/>
                <w:sz w:val="20"/>
                <w:szCs w:val="20"/>
                <w:lang w:val="fr-BE" w:eastAsia="nl-NL"/>
              </w:rPr>
              <w:t xml:space="preserve"> postal et commune)</w:t>
            </w:r>
          </w:p>
          <w:p w14:paraId="11E6B6C6" w14:textId="77777777" w:rsidR="001617B2" w:rsidRPr="00C57832" w:rsidRDefault="001617B2" w:rsidP="001617B2">
            <w:pPr>
              <w:spacing w:after="0" w:line="240" w:lineRule="auto"/>
              <w:jc w:val="right"/>
              <w:rPr>
                <w:rFonts w:eastAsia="Times New Roman"/>
                <w:sz w:val="20"/>
                <w:szCs w:val="20"/>
                <w:lang w:val="fr-BE" w:eastAsia="nl-NL"/>
              </w:rPr>
            </w:pPr>
          </w:p>
          <w:p w14:paraId="5AFE73F7" w14:textId="77777777" w:rsidR="001617B2" w:rsidRPr="00C57832" w:rsidRDefault="001617B2" w:rsidP="001617B2">
            <w:pPr>
              <w:spacing w:after="60" w:line="240" w:lineRule="auto"/>
              <w:jc w:val="right"/>
              <w:rPr>
                <w:rFonts w:eastAsia="Times New Roman"/>
                <w:sz w:val="20"/>
                <w:szCs w:val="20"/>
                <w:lang w:val="fr-BE" w:eastAsia="nl-NL"/>
              </w:rPr>
            </w:pPr>
            <w:r w:rsidRPr="00C57832">
              <w:rPr>
                <w:rFonts w:eastAsia="Times New Roman"/>
                <w:sz w:val="20"/>
                <w:szCs w:val="20"/>
                <w:lang w:val="fr-BE" w:eastAsia="nl-NL"/>
              </w:rPr>
              <w:t xml:space="preserve">(pays) </w:t>
            </w:r>
          </w:p>
        </w:tc>
      </w:tr>
    </w:tbl>
    <w:p w14:paraId="0C477529" w14:textId="77777777" w:rsidR="001617B2" w:rsidRPr="00C57832" w:rsidRDefault="001617B2" w:rsidP="001617B2">
      <w:pPr>
        <w:spacing w:after="0" w:line="240" w:lineRule="auto"/>
        <w:ind w:right="-1"/>
        <w:rPr>
          <w:rFonts w:eastAsia="Times New Roman"/>
          <w:spacing w:val="-4"/>
          <w:sz w:val="20"/>
          <w:szCs w:val="20"/>
          <w:lang w:val="fr-BE" w:eastAsia="nl-NL"/>
        </w:rPr>
      </w:pPr>
      <w:r w:rsidRPr="00C57832">
        <w:rPr>
          <w:rFonts w:eastAsia="Times New Roman"/>
          <w:spacing w:val="-4"/>
          <w:sz w:val="20"/>
          <w:szCs w:val="20"/>
          <w:lang w:val="fr-BE" w:eastAsia="nl-NL"/>
        </w:rPr>
        <w:t xml:space="preserve">agissant comme soumissionnaire ou fondé de pouvoirs, signe ci-dessous et s’engage à exécuter conformément aux clauses et conditions du cahier spécial des charges n° </w:t>
      </w:r>
      <w:r w:rsidRPr="00C57832">
        <w:rPr>
          <w:rFonts w:eastAsia="Times New Roman"/>
          <w:spacing w:val="-4"/>
          <w:sz w:val="20"/>
          <w:szCs w:val="20"/>
          <w:lang w:val="fr-BE" w:eastAsia="nl-NL"/>
        </w:rPr>
        <w:fldChar w:fldCharType="begin">
          <w:ffData>
            <w:name w:val="Tekstvak6"/>
            <w:enabled/>
            <w:calcOnExit w:val="0"/>
            <w:textInput>
              <w:default w:val="&lt;numéro ou numéro de référence&gt; "/>
            </w:textInput>
          </w:ffData>
        </w:fldChar>
      </w:r>
      <w:r w:rsidRPr="00C57832">
        <w:rPr>
          <w:rFonts w:eastAsia="Times New Roman"/>
          <w:spacing w:val="-4"/>
          <w:sz w:val="20"/>
          <w:szCs w:val="20"/>
          <w:lang w:val="fr-BE" w:eastAsia="nl-NL"/>
        </w:rPr>
        <w:instrText xml:space="preserve"> </w:instrText>
      </w:r>
      <w:bookmarkStart w:id="198" w:name="Tekstvak6"/>
      <w:r w:rsidRPr="00C57832">
        <w:rPr>
          <w:rFonts w:eastAsia="Times New Roman"/>
          <w:spacing w:val="-4"/>
          <w:sz w:val="20"/>
          <w:szCs w:val="20"/>
          <w:lang w:val="fr-BE" w:eastAsia="nl-NL"/>
        </w:rPr>
        <w:instrText xml:space="preserve">FORMTEXT </w:instrText>
      </w:r>
      <w:r w:rsidRPr="00C57832">
        <w:rPr>
          <w:rFonts w:eastAsia="Times New Roman"/>
          <w:spacing w:val="-4"/>
          <w:sz w:val="20"/>
          <w:szCs w:val="20"/>
          <w:lang w:val="fr-BE" w:eastAsia="nl-NL"/>
        </w:rPr>
      </w:r>
      <w:r w:rsidRPr="00C57832">
        <w:rPr>
          <w:rFonts w:eastAsia="Times New Roman"/>
          <w:spacing w:val="-4"/>
          <w:sz w:val="20"/>
          <w:szCs w:val="20"/>
          <w:lang w:val="fr-BE" w:eastAsia="nl-NL"/>
        </w:rPr>
        <w:fldChar w:fldCharType="separate"/>
      </w:r>
      <w:r w:rsidRPr="00C57832">
        <w:rPr>
          <w:rFonts w:eastAsia="Times New Roman"/>
          <w:spacing w:val="-4"/>
          <w:sz w:val="20"/>
          <w:szCs w:val="20"/>
          <w:lang w:val="fr-BE" w:eastAsia="nl-NL"/>
        </w:rPr>
        <w:t xml:space="preserve">&lt;numéro ou numéro de référence&gt; </w:t>
      </w:r>
      <w:r w:rsidRPr="00C57832">
        <w:rPr>
          <w:rFonts w:eastAsia="Times New Roman"/>
          <w:spacing w:val="-4"/>
          <w:sz w:val="20"/>
          <w:szCs w:val="20"/>
          <w:lang w:val="fr-BE" w:eastAsia="nl-NL"/>
        </w:rPr>
        <w:fldChar w:fldCharType="end"/>
      </w:r>
      <w:bookmarkEnd w:id="198"/>
      <w:r w:rsidRPr="00C57832">
        <w:rPr>
          <w:rFonts w:eastAsia="Times New Roman"/>
          <w:spacing w:val="-4"/>
          <w:sz w:val="20"/>
          <w:szCs w:val="20"/>
          <w:lang w:val="fr-BE" w:eastAsia="nl-NL"/>
        </w:rPr>
        <w:t xml:space="preserve"> la fourniture/le service</w:t>
      </w:r>
      <w:r w:rsidRPr="00C57832">
        <w:rPr>
          <w:rFonts w:eastAsia="Times New Roman"/>
          <w:spacing w:val="-4"/>
          <w:sz w:val="20"/>
          <w:szCs w:val="20"/>
          <w:vertAlign w:val="superscript"/>
          <w:lang w:val="fr-BE" w:eastAsia="nl-NL"/>
        </w:rPr>
        <w:footnoteReference w:id="21"/>
      </w:r>
      <w:r w:rsidRPr="00C57832">
        <w:rPr>
          <w:rFonts w:eastAsia="Times New Roman"/>
          <w:spacing w:val="-4"/>
          <w:sz w:val="20"/>
          <w:szCs w:val="20"/>
          <w:lang w:val="fr-BE" w:eastAsia="nl-NL"/>
        </w:rPr>
        <w:t xml:space="preserve"> détaillé(e) ci-avant, </w:t>
      </w:r>
      <w:r w:rsidRPr="00C57832">
        <w:rPr>
          <w:rFonts w:eastAsia="Times New Roman" w:cs="Arial"/>
          <w:spacing w:val="-4"/>
          <w:sz w:val="20"/>
          <w:szCs w:val="20"/>
          <w:lang w:val="fr-BE" w:eastAsia="nl-NL"/>
        </w:rPr>
        <w:t>formant le LOT UNIQUE</w:t>
      </w:r>
      <w:r w:rsidRPr="00C57832">
        <w:rPr>
          <w:rFonts w:eastAsia="Times New Roman" w:cs="Arial"/>
          <w:spacing w:val="-4"/>
          <w:sz w:val="20"/>
          <w:szCs w:val="20"/>
          <w:vertAlign w:val="superscript"/>
          <w:lang w:val="fr-BE" w:eastAsia="nl-NL"/>
        </w:rPr>
        <w:footnoteReference w:id="22"/>
      </w:r>
      <w:r w:rsidRPr="00C57832">
        <w:rPr>
          <w:rFonts w:eastAsia="Times New Roman" w:cs="Arial"/>
          <w:b/>
          <w:spacing w:val="-4"/>
          <w:sz w:val="20"/>
          <w:szCs w:val="20"/>
          <w:lang w:val="fr-BE" w:eastAsia="nl-NL"/>
        </w:rPr>
        <w:t xml:space="preserve">  </w:t>
      </w:r>
      <w:r w:rsidRPr="00C57832">
        <w:rPr>
          <w:rFonts w:eastAsia="Times New Roman"/>
          <w:spacing w:val="-4"/>
          <w:sz w:val="20"/>
          <w:szCs w:val="20"/>
          <w:lang w:val="fr-BE" w:eastAsia="nl-NL"/>
        </w:rPr>
        <w:t>de ce document, moyennant le prix unitaire forfaitaire suivant:</w:t>
      </w:r>
    </w:p>
    <w:p w14:paraId="2C66680F" w14:textId="77777777" w:rsidR="001617B2" w:rsidRPr="00C57832" w:rsidRDefault="001617B2" w:rsidP="001617B2">
      <w:pPr>
        <w:spacing w:after="0" w:line="240" w:lineRule="auto"/>
        <w:rPr>
          <w:rFonts w:eastAsia="Times New Roman"/>
          <w:snapToGrid w:val="0"/>
          <w:sz w:val="20"/>
          <w:szCs w:val="20"/>
          <w:lang w:val="fr-BE" w:eastAsia="fr-FR"/>
        </w:rPr>
      </w:pPr>
    </w:p>
    <w:p w14:paraId="6FB2C9D5"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t xml:space="preserve">a) prix unitaire forfaitaire, hors T.V.A., pour </w:t>
      </w:r>
      <w:r w:rsidRPr="00C57832">
        <w:rPr>
          <w:rFonts w:eastAsia="Times New Roman"/>
          <w:snapToGrid w:val="0"/>
          <w:sz w:val="20"/>
          <w:szCs w:val="20"/>
          <w:lang w:val="fr-BE" w:eastAsia="fr-FR"/>
        </w:rPr>
        <w:fldChar w:fldCharType="begin">
          <w:ffData>
            <w:name w:val="Tekstvak7"/>
            <w:enabled/>
            <w:calcOnExit w:val="0"/>
            <w:textInput>
              <w:default w:val="&lt;compléter&gt;"/>
            </w:textInput>
          </w:ffData>
        </w:fldChar>
      </w:r>
      <w:r w:rsidRPr="00C57832">
        <w:rPr>
          <w:rFonts w:eastAsia="Times New Roman"/>
          <w:snapToGrid w:val="0"/>
          <w:sz w:val="20"/>
          <w:szCs w:val="20"/>
          <w:lang w:val="fr-BE" w:eastAsia="fr-FR"/>
        </w:rPr>
        <w:instrText xml:space="preserve"> FORMTEXT </w:instrText>
      </w:r>
      <w:r w:rsidRPr="00C57832">
        <w:rPr>
          <w:rFonts w:eastAsia="Times New Roman"/>
          <w:snapToGrid w:val="0"/>
          <w:sz w:val="20"/>
          <w:szCs w:val="20"/>
          <w:lang w:val="fr-BE" w:eastAsia="fr-FR"/>
        </w:rPr>
      </w:r>
      <w:r w:rsidRPr="00C57832">
        <w:rPr>
          <w:rFonts w:eastAsia="Times New Roman"/>
          <w:snapToGrid w:val="0"/>
          <w:sz w:val="20"/>
          <w:szCs w:val="20"/>
          <w:lang w:val="fr-BE" w:eastAsia="fr-FR"/>
        </w:rPr>
        <w:fldChar w:fldCharType="separate"/>
      </w:r>
      <w:r w:rsidRPr="00C57832">
        <w:rPr>
          <w:rFonts w:eastAsia="Times New Roman"/>
          <w:snapToGrid w:val="0"/>
          <w:sz w:val="20"/>
          <w:szCs w:val="20"/>
          <w:lang w:val="fr-BE" w:eastAsia="fr-FR"/>
        </w:rPr>
        <w:t>&lt;compléter&gt;</w:t>
      </w:r>
      <w:r w:rsidRPr="00C57832">
        <w:rPr>
          <w:rFonts w:eastAsia="Times New Roman"/>
          <w:snapToGrid w:val="0"/>
          <w:sz w:val="20"/>
          <w:szCs w:val="20"/>
          <w:lang w:val="fr-BE" w:eastAsia="fr-FR"/>
        </w:rPr>
        <w:fldChar w:fldCharType="end"/>
      </w:r>
      <w:r w:rsidRPr="00C57832">
        <w:rPr>
          <w:rFonts w:eastAsia="Times New Roman"/>
          <w:snapToGrid w:val="0"/>
          <w:sz w:val="20"/>
          <w:szCs w:val="20"/>
          <w:lang w:val="fr-BE" w:eastAsia="fr-FR"/>
        </w:rPr>
        <w:t> :</w:t>
      </w:r>
    </w:p>
    <w:p w14:paraId="38F5EE09" w14:textId="77777777" w:rsidR="001617B2" w:rsidRPr="00C57832" w:rsidRDefault="001617B2" w:rsidP="001617B2">
      <w:pPr>
        <w:spacing w:after="0" w:line="240" w:lineRule="auto"/>
        <w:rPr>
          <w:rFonts w:eastAsia="Times New Roman"/>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617B2" w:rsidRPr="007174D8" w14:paraId="790B0F7E" w14:textId="77777777" w:rsidTr="00E52272">
        <w:tc>
          <w:tcPr>
            <w:tcW w:w="9211" w:type="dxa"/>
          </w:tcPr>
          <w:p w14:paraId="4DB99A46" w14:textId="77777777" w:rsidR="001617B2" w:rsidRPr="00C57832" w:rsidRDefault="001617B2" w:rsidP="001617B2">
            <w:pPr>
              <w:spacing w:after="0" w:line="240" w:lineRule="auto"/>
              <w:rPr>
                <w:rFonts w:eastAsia="Times New Roman"/>
                <w:snapToGrid w:val="0"/>
                <w:sz w:val="20"/>
                <w:szCs w:val="20"/>
                <w:lang w:val="fr-BE" w:eastAsia="fr-FR"/>
              </w:rPr>
            </w:pPr>
          </w:p>
          <w:p w14:paraId="64604273" w14:textId="77777777" w:rsidR="001617B2" w:rsidRPr="00C57832" w:rsidRDefault="001617B2" w:rsidP="001617B2">
            <w:pPr>
              <w:spacing w:after="0" w:line="240" w:lineRule="auto"/>
              <w:rPr>
                <w:rFonts w:eastAsia="Times New Roman"/>
                <w:snapToGrid w:val="0"/>
                <w:sz w:val="20"/>
                <w:szCs w:val="20"/>
                <w:lang w:val="fr-BE" w:eastAsia="fr-FR"/>
              </w:rPr>
            </w:pPr>
          </w:p>
          <w:p w14:paraId="5BE21981" w14:textId="77777777" w:rsidR="001617B2" w:rsidRPr="00C57832" w:rsidRDefault="001617B2" w:rsidP="001617B2">
            <w:pPr>
              <w:spacing w:after="0" w:line="240" w:lineRule="auto"/>
              <w:rPr>
                <w:rFonts w:eastAsia="Times New Roman"/>
                <w:snapToGrid w:val="0"/>
                <w:sz w:val="20"/>
                <w:szCs w:val="20"/>
                <w:lang w:val="fr-BE" w:eastAsia="fr-FR"/>
              </w:rPr>
            </w:pPr>
          </w:p>
          <w:p w14:paraId="0BF96101"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sym w:font="Symbol" w:char="F05B"/>
            </w:r>
            <w:r w:rsidRPr="00C57832">
              <w:rPr>
                <w:rFonts w:eastAsia="Times New Roman"/>
                <w:snapToGrid w:val="0"/>
                <w:sz w:val="20"/>
                <w:szCs w:val="20"/>
                <w:lang w:val="fr-BE" w:eastAsia="fr-FR"/>
              </w:rPr>
              <w:t>en lettres et en chiffres en EURO</w:t>
            </w:r>
            <w:r w:rsidRPr="00C57832">
              <w:rPr>
                <w:rFonts w:eastAsia="Times New Roman"/>
                <w:snapToGrid w:val="0"/>
                <w:sz w:val="20"/>
                <w:szCs w:val="20"/>
                <w:lang w:val="fr-BE" w:eastAsia="fr-FR"/>
              </w:rPr>
              <w:sym w:font="Symbol" w:char="F05D"/>
            </w:r>
          </w:p>
        </w:tc>
      </w:tr>
    </w:tbl>
    <w:p w14:paraId="385E5474" w14:textId="77777777" w:rsidR="001617B2" w:rsidRPr="00C57832" w:rsidRDefault="001617B2" w:rsidP="001617B2">
      <w:pPr>
        <w:spacing w:after="0" w:line="240" w:lineRule="auto"/>
        <w:rPr>
          <w:rFonts w:eastAsia="Times New Roman"/>
          <w:snapToGrid w:val="0"/>
          <w:sz w:val="20"/>
          <w:szCs w:val="20"/>
          <w:lang w:val="fr-BE" w:eastAsia="fr-FR"/>
        </w:rPr>
      </w:pPr>
    </w:p>
    <w:p w14:paraId="15DAAD66" w14:textId="77777777" w:rsidR="001617B2" w:rsidRPr="00C57832" w:rsidRDefault="001617B2" w:rsidP="001617B2">
      <w:pPr>
        <w:spacing w:after="0" w:line="240" w:lineRule="auto"/>
        <w:rPr>
          <w:rFonts w:eastAsia="Times New Roman"/>
          <w:snapToGrid w:val="0"/>
          <w:sz w:val="20"/>
          <w:szCs w:val="20"/>
          <w:lang w:val="fr-BE" w:eastAsia="fr-FR"/>
        </w:rPr>
      </w:pPr>
      <w:proofErr w:type="gramStart"/>
      <w:r w:rsidRPr="00C57832">
        <w:rPr>
          <w:rFonts w:eastAsia="Times New Roman"/>
          <w:snapToGrid w:val="0"/>
          <w:sz w:val="20"/>
          <w:szCs w:val="20"/>
          <w:lang w:val="fr-BE" w:eastAsia="fr-FR"/>
        </w:rPr>
        <w:t>auquel</w:t>
      </w:r>
      <w:proofErr w:type="gramEnd"/>
      <w:r w:rsidRPr="00C57832">
        <w:rPr>
          <w:rFonts w:eastAsia="Times New Roman"/>
          <w:snapToGrid w:val="0"/>
          <w:sz w:val="20"/>
          <w:szCs w:val="20"/>
          <w:lang w:val="fr-BE" w:eastAsia="fr-FR"/>
        </w:rPr>
        <w:t xml:space="preserve"> doit être ajoutée la T.V.A., soit un montant de :</w:t>
      </w:r>
    </w:p>
    <w:p w14:paraId="013AF1EF" w14:textId="77777777" w:rsidR="001617B2" w:rsidRPr="00C57832" w:rsidRDefault="001617B2" w:rsidP="001617B2">
      <w:pPr>
        <w:spacing w:after="0" w:line="240" w:lineRule="auto"/>
        <w:rPr>
          <w:rFonts w:eastAsia="Times New Roman"/>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617B2" w:rsidRPr="007174D8" w14:paraId="778DDAB8" w14:textId="77777777" w:rsidTr="00E52272">
        <w:tc>
          <w:tcPr>
            <w:tcW w:w="9211" w:type="dxa"/>
          </w:tcPr>
          <w:p w14:paraId="4D600310" w14:textId="77777777" w:rsidR="001617B2" w:rsidRPr="00C57832" w:rsidRDefault="001617B2" w:rsidP="001617B2">
            <w:pPr>
              <w:spacing w:after="0" w:line="240" w:lineRule="auto"/>
              <w:rPr>
                <w:rFonts w:eastAsia="Times New Roman"/>
                <w:snapToGrid w:val="0"/>
                <w:sz w:val="20"/>
                <w:szCs w:val="20"/>
                <w:lang w:val="fr-BE" w:eastAsia="fr-FR"/>
              </w:rPr>
            </w:pPr>
          </w:p>
          <w:p w14:paraId="77626137" w14:textId="77777777" w:rsidR="001617B2" w:rsidRPr="00C57832" w:rsidRDefault="001617B2" w:rsidP="001617B2">
            <w:pPr>
              <w:spacing w:after="0" w:line="240" w:lineRule="auto"/>
              <w:rPr>
                <w:rFonts w:eastAsia="Times New Roman"/>
                <w:snapToGrid w:val="0"/>
                <w:sz w:val="20"/>
                <w:szCs w:val="20"/>
                <w:lang w:val="fr-BE" w:eastAsia="fr-FR"/>
              </w:rPr>
            </w:pPr>
          </w:p>
          <w:p w14:paraId="14386F92" w14:textId="77777777" w:rsidR="001617B2" w:rsidRPr="00C57832" w:rsidRDefault="001617B2" w:rsidP="001617B2">
            <w:pPr>
              <w:spacing w:after="0" w:line="240" w:lineRule="auto"/>
              <w:rPr>
                <w:rFonts w:eastAsia="Times New Roman"/>
                <w:snapToGrid w:val="0"/>
                <w:sz w:val="20"/>
                <w:szCs w:val="20"/>
                <w:lang w:val="fr-BE" w:eastAsia="fr-FR"/>
              </w:rPr>
            </w:pPr>
          </w:p>
          <w:p w14:paraId="541CFFCA"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sym w:font="Symbol" w:char="F05B"/>
            </w:r>
            <w:r w:rsidRPr="00C57832">
              <w:rPr>
                <w:rFonts w:eastAsia="Times New Roman"/>
                <w:snapToGrid w:val="0"/>
                <w:sz w:val="20"/>
                <w:szCs w:val="20"/>
                <w:lang w:val="fr-BE" w:eastAsia="fr-FR"/>
              </w:rPr>
              <w:t>en lettres et en chiffres en EURO</w:t>
            </w:r>
            <w:r w:rsidRPr="00C57832">
              <w:rPr>
                <w:rFonts w:eastAsia="Times New Roman"/>
                <w:snapToGrid w:val="0"/>
                <w:sz w:val="20"/>
                <w:szCs w:val="20"/>
                <w:lang w:val="fr-BE" w:eastAsia="fr-FR"/>
              </w:rPr>
              <w:sym w:font="Symbol" w:char="F05D"/>
            </w:r>
          </w:p>
        </w:tc>
      </w:tr>
    </w:tbl>
    <w:p w14:paraId="180CCC18" w14:textId="77777777" w:rsidR="001617B2" w:rsidRPr="00C57832" w:rsidRDefault="001617B2" w:rsidP="001617B2">
      <w:pPr>
        <w:spacing w:after="0" w:line="240" w:lineRule="auto"/>
        <w:rPr>
          <w:rFonts w:eastAsia="Times New Roman"/>
          <w:snapToGrid w:val="0"/>
          <w:sz w:val="20"/>
          <w:szCs w:val="20"/>
          <w:lang w:val="fr-BE" w:eastAsia="fr-FR"/>
        </w:rPr>
      </w:pPr>
    </w:p>
    <w:p w14:paraId="3DFE62F3" w14:textId="77777777" w:rsidR="001617B2" w:rsidRPr="00C57832" w:rsidRDefault="001617B2" w:rsidP="001617B2">
      <w:pPr>
        <w:spacing w:after="0" w:line="240" w:lineRule="auto"/>
        <w:rPr>
          <w:rFonts w:eastAsia="Times New Roman"/>
          <w:snapToGrid w:val="0"/>
          <w:sz w:val="20"/>
          <w:szCs w:val="20"/>
          <w:lang w:val="fr-BE" w:eastAsia="fr-FR"/>
        </w:rPr>
      </w:pPr>
      <w:proofErr w:type="gramStart"/>
      <w:r w:rsidRPr="00C57832">
        <w:rPr>
          <w:rFonts w:eastAsia="Times New Roman"/>
          <w:snapToGrid w:val="0"/>
          <w:sz w:val="20"/>
          <w:szCs w:val="20"/>
          <w:lang w:val="fr-BE" w:eastAsia="fr-FR"/>
        </w:rPr>
        <w:lastRenderedPageBreak/>
        <w:t>soit</w:t>
      </w:r>
      <w:proofErr w:type="gramEnd"/>
      <w:r w:rsidRPr="00C57832">
        <w:rPr>
          <w:rFonts w:eastAsia="Times New Roman"/>
          <w:snapToGrid w:val="0"/>
          <w:sz w:val="20"/>
          <w:szCs w:val="20"/>
          <w:lang w:val="fr-BE" w:eastAsia="fr-FR"/>
        </w:rPr>
        <w:t xml:space="preserve"> un prix unitaire forfaitaire, T.V.A. incluse, de :</w:t>
      </w:r>
    </w:p>
    <w:p w14:paraId="6326E0E3" w14:textId="77777777" w:rsidR="001617B2" w:rsidRPr="00C57832" w:rsidRDefault="001617B2" w:rsidP="001617B2">
      <w:pPr>
        <w:spacing w:after="0" w:line="240" w:lineRule="auto"/>
        <w:rPr>
          <w:rFonts w:eastAsia="Times New Roman"/>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617B2" w:rsidRPr="007174D8" w14:paraId="40A14A51" w14:textId="77777777" w:rsidTr="00E52272">
        <w:tc>
          <w:tcPr>
            <w:tcW w:w="9211" w:type="dxa"/>
          </w:tcPr>
          <w:p w14:paraId="658E51C9" w14:textId="77777777" w:rsidR="001617B2" w:rsidRPr="00C57832" w:rsidRDefault="001617B2" w:rsidP="001617B2">
            <w:pPr>
              <w:spacing w:after="0" w:line="240" w:lineRule="auto"/>
              <w:rPr>
                <w:rFonts w:eastAsia="Times New Roman"/>
                <w:snapToGrid w:val="0"/>
                <w:sz w:val="20"/>
                <w:szCs w:val="20"/>
                <w:lang w:val="fr-BE" w:eastAsia="fr-FR"/>
              </w:rPr>
            </w:pPr>
          </w:p>
          <w:p w14:paraId="1FE46663" w14:textId="77777777" w:rsidR="001617B2" w:rsidRPr="00C57832" w:rsidRDefault="001617B2" w:rsidP="001617B2">
            <w:pPr>
              <w:spacing w:after="0" w:line="240" w:lineRule="auto"/>
              <w:rPr>
                <w:rFonts w:eastAsia="Times New Roman"/>
                <w:snapToGrid w:val="0"/>
                <w:sz w:val="20"/>
                <w:szCs w:val="20"/>
                <w:lang w:val="fr-BE" w:eastAsia="fr-FR"/>
              </w:rPr>
            </w:pPr>
          </w:p>
          <w:p w14:paraId="183899B1" w14:textId="77777777" w:rsidR="001617B2" w:rsidRPr="00C57832" w:rsidRDefault="001617B2" w:rsidP="001617B2">
            <w:pPr>
              <w:spacing w:after="0" w:line="240" w:lineRule="auto"/>
              <w:rPr>
                <w:rFonts w:eastAsia="Times New Roman"/>
                <w:snapToGrid w:val="0"/>
                <w:sz w:val="20"/>
                <w:szCs w:val="20"/>
                <w:lang w:val="fr-BE" w:eastAsia="fr-FR"/>
              </w:rPr>
            </w:pPr>
          </w:p>
          <w:p w14:paraId="4E6CD7D8"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sym w:font="Symbol" w:char="F05B"/>
            </w:r>
            <w:r w:rsidRPr="00C57832">
              <w:rPr>
                <w:rFonts w:eastAsia="Times New Roman"/>
                <w:snapToGrid w:val="0"/>
                <w:sz w:val="20"/>
                <w:szCs w:val="20"/>
                <w:lang w:val="fr-BE" w:eastAsia="fr-FR"/>
              </w:rPr>
              <w:t>en lettres et en chiffres en EURO</w:t>
            </w:r>
            <w:r w:rsidRPr="00C57832">
              <w:rPr>
                <w:rFonts w:eastAsia="Times New Roman"/>
                <w:snapToGrid w:val="0"/>
                <w:sz w:val="20"/>
                <w:szCs w:val="20"/>
                <w:lang w:val="fr-BE" w:eastAsia="fr-FR"/>
              </w:rPr>
              <w:sym w:font="Symbol" w:char="F05D"/>
            </w:r>
          </w:p>
        </w:tc>
      </w:tr>
    </w:tbl>
    <w:p w14:paraId="06ACDEE5" w14:textId="77777777" w:rsidR="001617B2" w:rsidRPr="00C57832" w:rsidRDefault="001617B2" w:rsidP="001617B2">
      <w:pPr>
        <w:spacing w:after="0" w:line="240" w:lineRule="auto"/>
        <w:ind w:right="-1"/>
        <w:rPr>
          <w:rFonts w:eastAsia="Times New Roman"/>
          <w:sz w:val="20"/>
          <w:szCs w:val="20"/>
          <w:lang w:val="fr-BE" w:eastAsia="nl-NL"/>
        </w:rPr>
      </w:pPr>
    </w:p>
    <w:p w14:paraId="30EFA606"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t xml:space="preserve">b) prix unitaire forfaitaire, hors T.V.A., pour </w:t>
      </w:r>
      <w:r w:rsidRPr="00C57832">
        <w:rPr>
          <w:rFonts w:eastAsia="Times New Roman"/>
          <w:snapToGrid w:val="0"/>
          <w:sz w:val="20"/>
          <w:szCs w:val="20"/>
          <w:lang w:val="fr-BE" w:eastAsia="fr-FR"/>
        </w:rPr>
        <w:fldChar w:fldCharType="begin">
          <w:ffData>
            <w:name w:val="Tekstvak8"/>
            <w:enabled/>
            <w:calcOnExit w:val="0"/>
            <w:textInput>
              <w:default w:val="&lt;compléter &gt;"/>
            </w:textInput>
          </w:ffData>
        </w:fldChar>
      </w:r>
      <w:r w:rsidRPr="00C57832">
        <w:rPr>
          <w:rFonts w:eastAsia="Times New Roman"/>
          <w:snapToGrid w:val="0"/>
          <w:sz w:val="20"/>
          <w:szCs w:val="20"/>
          <w:lang w:val="fr-BE" w:eastAsia="fr-FR"/>
        </w:rPr>
        <w:instrText xml:space="preserve"> FORMTEXT </w:instrText>
      </w:r>
      <w:r w:rsidRPr="00C57832">
        <w:rPr>
          <w:rFonts w:eastAsia="Times New Roman"/>
          <w:snapToGrid w:val="0"/>
          <w:sz w:val="20"/>
          <w:szCs w:val="20"/>
          <w:lang w:val="fr-BE" w:eastAsia="fr-FR"/>
        </w:rPr>
      </w:r>
      <w:r w:rsidRPr="00C57832">
        <w:rPr>
          <w:rFonts w:eastAsia="Times New Roman"/>
          <w:snapToGrid w:val="0"/>
          <w:sz w:val="20"/>
          <w:szCs w:val="20"/>
          <w:lang w:val="fr-BE" w:eastAsia="fr-FR"/>
        </w:rPr>
        <w:fldChar w:fldCharType="separate"/>
      </w:r>
      <w:r w:rsidRPr="00C57832">
        <w:rPr>
          <w:rFonts w:eastAsia="Times New Roman"/>
          <w:snapToGrid w:val="0"/>
          <w:sz w:val="20"/>
          <w:szCs w:val="20"/>
          <w:lang w:val="fr-BE" w:eastAsia="fr-FR"/>
        </w:rPr>
        <w:t>&lt;compléter &gt;</w:t>
      </w:r>
      <w:r w:rsidRPr="00C57832">
        <w:rPr>
          <w:rFonts w:eastAsia="Times New Roman"/>
          <w:snapToGrid w:val="0"/>
          <w:sz w:val="20"/>
          <w:szCs w:val="20"/>
          <w:lang w:val="fr-BE" w:eastAsia="fr-FR"/>
        </w:rPr>
        <w:fldChar w:fldCharType="end"/>
      </w:r>
      <w:r w:rsidRPr="00C57832">
        <w:rPr>
          <w:rFonts w:eastAsia="Times New Roman"/>
          <w:snapToGrid w:val="0"/>
          <w:sz w:val="20"/>
          <w:szCs w:val="20"/>
          <w:lang w:val="fr-BE" w:eastAsia="fr-FR"/>
        </w:rPr>
        <w:t> :</w:t>
      </w:r>
    </w:p>
    <w:p w14:paraId="74C0FBCF" w14:textId="77777777" w:rsidR="001617B2" w:rsidRPr="00C57832" w:rsidRDefault="001617B2" w:rsidP="001617B2">
      <w:pPr>
        <w:spacing w:after="0" w:line="240" w:lineRule="auto"/>
        <w:rPr>
          <w:rFonts w:eastAsia="Times New Roman"/>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617B2" w:rsidRPr="007174D8" w14:paraId="51026992" w14:textId="77777777" w:rsidTr="00E52272">
        <w:tc>
          <w:tcPr>
            <w:tcW w:w="9211" w:type="dxa"/>
          </w:tcPr>
          <w:p w14:paraId="2A8926EB" w14:textId="77777777" w:rsidR="001617B2" w:rsidRPr="00C57832" w:rsidRDefault="001617B2" w:rsidP="001617B2">
            <w:pPr>
              <w:spacing w:after="0" w:line="240" w:lineRule="auto"/>
              <w:rPr>
                <w:rFonts w:eastAsia="Times New Roman"/>
                <w:snapToGrid w:val="0"/>
                <w:sz w:val="20"/>
                <w:szCs w:val="20"/>
                <w:lang w:val="fr-BE" w:eastAsia="fr-FR"/>
              </w:rPr>
            </w:pPr>
          </w:p>
          <w:p w14:paraId="6AA6BC71" w14:textId="77777777" w:rsidR="001617B2" w:rsidRPr="00C57832" w:rsidRDefault="001617B2" w:rsidP="001617B2">
            <w:pPr>
              <w:spacing w:after="0" w:line="240" w:lineRule="auto"/>
              <w:rPr>
                <w:rFonts w:eastAsia="Times New Roman"/>
                <w:snapToGrid w:val="0"/>
                <w:sz w:val="20"/>
                <w:szCs w:val="20"/>
                <w:lang w:val="fr-BE" w:eastAsia="fr-FR"/>
              </w:rPr>
            </w:pPr>
          </w:p>
          <w:p w14:paraId="1998284D" w14:textId="77777777" w:rsidR="001617B2" w:rsidRPr="00C57832" w:rsidRDefault="001617B2" w:rsidP="001617B2">
            <w:pPr>
              <w:spacing w:after="0" w:line="240" w:lineRule="auto"/>
              <w:rPr>
                <w:rFonts w:eastAsia="Times New Roman"/>
                <w:snapToGrid w:val="0"/>
                <w:sz w:val="20"/>
                <w:szCs w:val="20"/>
                <w:lang w:val="fr-BE" w:eastAsia="fr-FR"/>
              </w:rPr>
            </w:pPr>
          </w:p>
          <w:p w14:paraId="7D4EBF00"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sym w:font="Symbol" w:char="F05B"/>
            </w:r>
            <w:r w:rsidRPr="00C57832">
              <w:rPr>
                <w:rFonts w:eastAsia="Times New Roman"/>
                <w:snapToGrid w:val="0"/>
                <w:sz w:val="20"/>
                <w:szCs w:val="20"/>
                <w:lang w:val="fr-BE" w:eastAsia="fr-FR"/>
              </w:rPr>
              <w:t>en lettres et en chiffres en EURO</w:t>
            </w:r>
            <w:r w:rsidRPr="00C57832">
              <w:rPr>
                <w:rFonts w:eastAsia="Times New Roman"/>
                <w:snapToGrid w:val="0"/>
                <w:sz w:val="20"/>
                <w:szCs w:val="20"/>
                <w:lang w:val="fr-BE" w:eastAsia="fr-FR"/>
              </w:rPr>
              <w:sym w:font="Symbol" w:char="F05D"/>
            </w:r>
          </w:p>
        </w:tc>
      </w:tr>
    </w:tbl>
    <w:p w14:paraId="6498E891" w14:textId="77777777" w:rsidR="001617B2" w:rsidRPr="00C57832" w:rsidRDefault="001617B2" w:rsidP="001617B2">
      <w:pPr>
        <w:spacing w:after="0" w:line="240" w:lineRule="auto"/>
        <w:rPr>
          <w:rFonts w:eastAsia="Times New Roman"/>
          <w:snapToGrid w:val="0"/>
          <w:sz w:val="20"/>
          <w:szCs w:val="20"/>
          <w:lang w:val="fr-BE" w:eastAsia="fr-FR"/>
        </w:rPr>
      </w:pPr>
    </w:p>
    <w:p w14:paraId="591EFD68" w14:textId="77777777" w:rsidR="001617B2" w:rsidRPr="00C57832" w:rsidRDefault="001617B2" w:rsidP="001617B2">
      <w:pPr>
        <w:spacing w:after="0" w:line="240" w:lineRule="auto"/>
        <w:rPr>
          <w:rFonts w:eastAsia="Times New Roman"/>
          <w:snapToGrid w:val="0"/>
          <w:sz w:val="20"/>
          <w:szCs w:val="20"/>
          <w:lang w:val="fr-BE" w:eastAsia="fr-FR"/>
        </w:rPr>
      </w:pPr>
      <w:proofErr w:type="gramStart"/>
      <w:r w:rsidRPr="00C57832">
        <w:rPr>
          <w:rFonts w:eastAsia="Times New Roman"/>
          <w:snapToGrid w:val="0"/>
          <w:sz w:val="20"/>
          <w:szCs w:val="20"/>
          <w:lang w:val="fr-BE" w:eastAsia="fr-FR"/>
        </w:rPr>
        <w:t>auquel</w:t>
      </w:r>
      <w:proofErr w:type="gramEnd"/>
      <w:r w:rsidRPr="00C57832">
        <w:rPr>
          <w:rFonts w:eastAsia="Times New Roman"/>
          <w:snapToGrid w:val="0"/>
          <w:sz w:val="20"/>
          <w:szCs w:val="20"/>
          <w:lang w:val="fr-BE" w:eastAsia="fr-FR"/>
        </w:rPr>
        <w:t xml:space="preserve"> doit être ajoutée la T.V.A., soit un montant de :</w:t>
      </w:r>
    </w:p>
    <w:p w14:paraId="14EC6CDB" w14:textId="77777777" w:rsidR="001617B2" w:rsidRPr="00C57832" w:rsidRDefault="001617B2" w:rsidP="001617B2">
      <w:pPr>
        <w:spacing w:after="0" w:line="240" w:lineRule="auto"/>
        <w:rPr>
          <w:rFonts w:eastAsia="Times New Roman"/>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617B2" w:rsidRPr="007174D8" w14:paraId="442B54F1" w14:textId="77777777" w:rsidTr="00E52272">
        <w:tc>
          <w:tcPr>
            <w:tcW w:w="9211" w:type="dxa"/>
          </w:tcPr>
          <w:p w14:paraId="4D18BA84" w14:textId="77777777" w:rsidR="001617B2" w:rsidRPr="00C57832" w:rsidRDefault="001617B2" w:rsidP="001617B2">
            <w:pPr>
              <w:spacing w:after="0" w:line="240" w:lineRule="auto"/>
              <w:rPr>
                <w:rFonts w:eastAsia="Times New Roman"/>
                <w:snapToGrid w:val="0"/>
                <w:sz w:val="20"/>
                <w:szCs w:val="20"/>
                <w:lang w:val="fr-BE" w:eastAsia="fr-FR"/>
              </w:rPr>
            </w:pPr>
          </w:p>
          <w:p w14:paraId="48B83331" w14:textId="77777777" w:rsidR="001617B2" w:rsidRPr="00C57832" w:rsidRDefault="001617B2" w:rsidP="001617B2">
            <w:pPr>
              <w:spacing w:after="0" w:line="240" w:lineRule="auto"/>
              <w:rPr>
                <w:rFonts w:eastAsia="Times New Roman"/>
                <w:snapToGrid w:val="0"/>
                <w:sz w:val="20"/>
                <w:szCs w:val="20"/>
                <w:lang w:val="fr-BE" w:eastAsia="fr-FR"/>
              </w:rPr>
            </w:pPr>
          </w:p>
          <w:p w14:paraId="5D90C573" w14:textId="77777777" w:rsidR="001617B2" w:rsidRPr="00C57832" w:rsidRDefault="001617B2" w:rsidP="001617B2">
            <w:pPr>
              <w:spacing w:after="0" w:line="240" w:lineRule="auto"/>
              <w:rPr>
                <w:rFonts w:eastAsia="Times New Roman"/>
                <w:snapToGrid w:val="0"/>
                <w:sz w:val="20"/>
                <w:szCs w:val="20"/>
                <w:lang w:val="fr-BE" w:eastAsia="fr-FR"/>
              </w:rPr>
            </w:pPr>
          </w:p>
          <w:p w14:paraId="15F3C723"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sym w:font="Symbol" w:char="F05B"/>
            </w:r>
            <w:r w:rsidRPr="00C57832">
              <w:rPr>
                <w:rFonts w:eastAsia="Times New Roman"/>
                <w:snapToGrid w:val="0"/>
                <w:sz w:val="20"/>
                <w:szCs w:val="20"/>
                <w:lang w:val="fr-BE" w:eastAsia="fr-FR"/>
              </w:rPr>
              <w:t>en lettre et en chiffres en EURO</w:t>
            </w:r>
            <w:r w:rsidRPr="00C57832">
              <w:rPr>
                <w:rFonts w:eastAsia="Times New Roman"/>
                <w:snapToGrid w:val="0"/>
                <w:sz w:val="20"/>
                <w:szCs w:val="20"/>
                <w:lang w:val="fr-BE" w:eastAsia="fr-FR"/>
              </w:rPr>
              <w:sym w:font="Symbol" w:char="F05D"/>
            </w:r>
          </w:p>
        </w:tc>
      </w:tr>
    </w:tbl>
    <w:p w14:paraId="4D66897A" w14:textId="77777777" w:rsidR="001617B2" w:rsidRPr="00C57832" w:rsidRDefault="001617B2" w:rsidP="001617B2">
      <w:pPr>
        <w:spacing w:after="0" w:line="240" w:lineRule="auto"/>
        <w:rPr>
          <w:rFonts w:eastAsia="Times New Roman"/>
          <w:snapToGrid w:val="0"/>
          <w:sz w:val="20"/>
          <w:szCs w:val="20"/>
          <w:lang w:val="fr-BE" w:eastAsia="fr-FR"/>
        </w:rPr>
      </w:pPr>
    </w:p>
    <w:p w14:paraId="71B4E4AF" w14:textId="77777777" w:rsidR="001617B2" w:rsidRPr="00C57832" w:rsidRDefault="001617B2" w:rsidP="001617B2">
      <w:pPr>
        <w:spacing w:after="0" w:line="240" w:lineRule="auto"/>
        <w:rPr>
          <w:rFonts w:eastAsia="Times New Roman"/>
          <w:snapToGrid w:val="0"/>
          <w:sz w:val="20"/>
          <w:szCs w:val="20"/>
          <w:lang w:val="fr-BE" w:eastAsia="fr-FR"/>
        </w:rPr>
      </w:pPr>
      <w:proofErr w:type="gramStart"/>
      <w:r w:rsidRPr="00C57832">
        <w:rPr>
          <w:rFonts w:eastAsia="Times New Roman"/>
          <w:snapToGrid w:val="0"/>
          <w:sz w:val="20"/>
          <w:szCs w:val="20"/>
          <w:lang w:val="fr-BE" w:eastAsia="fr-FR"/>
        </w:rPr>
        <w:t>soit</w:t>
      </w:r>
      <w:proofErr w:type="gramEnd"/>
      <w:r w:rsidRPr="00C57832">
        <w:rPr>
          <w:rFonts w:eastAsia="Times New Roman"/>
          <w:snapToGrid w:val="0"/>
          <w:sz w:val="20"/>
          <w:szCs w:val="20"/>
          <w:lang w:val="fr-BE" w:eastAsia="fr-FR"/>
        </w:rPr>
        <w:t xml:space="preserve"> un prix unitaire forfaitaire, T.V.A. incluse, de :</w:t>
      </w:r>
    </w:p>
    <w:p w14:paraId="43B605D6" w14:textId="77777777" w:rsidR="001617B2" w:rsidRPr="00C57832" w:rsidRDefault="001617B2" w:rsidP="001617B2">
      <w:pPr>
        <w:spacing w:after="0" w:line="240" w:lineRule="auto"/>
        <w:rPr>
          <w:rFonts w:eastAsia="Times New Roman"/>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617B2" w:rsidRPr="007174D8" w14:paraId="2F8FFD86" w14:textId="77777777" w:rsidTr="00E52272">
        <w:tc>
          <w:tcPr>
            <w:tcW w:w="9211" w:type="dxa"/>
          </w:tcPr>
          <w:p w14:paraId="390AAAC0" w14:textId="77777777" w:rsidR="001617B2" w:rsidRPr="00C57832" w:rsidRDefault="001617B2" w:rsidP="001617B2">
            <w:pPr>
              <w:spacing w:after="0" w:line="240" w:lineRule="auto"/>
              <w:rPr>
                <w:rFonts w:eastAsia="Times New Roman"/>
                <w:snapToGrid w:val="0"/>
                <w:sz w:val="20"/>
                <w:szCs w:val="20"/>
                <w:lang w:val="fr-BE" w:eastAsia="fr-FR"/>
              </w:rPr>
            </w:pPr>
          </w:p>
          <w:p w14:paraId="69455094" w14:textId="77777777" w:rsidR="001617B2" w:rsidRPr="00C57832" w:rsidRDefault="001617B2" w:rsidP="001617B2">
            <w:pPr>
              <w:spacing w:after="0" w:line="240" w:lineRule="auto"/>
              <w:rPr>
                <w:rFonts w:eastAsia="Times New Roman"/>
                <w:snapToGrid w:val="0"/>
                <w:sz w:val="20"/>
                <w:szCs w:val="20"/>
                <w:lang w:val="fr-BE" w:eastAsia="fr-FR"/>
              </w:rPr>
            </w:pPr>
          </w:p>
          <w:p w14:paraId="23312CE3" w14:textId="77777777" w:rsidR="001617B2" w:rsidRPr="00C57832" w:rsidRDefault="001617B2" w:rsidP="001617B2">
            <w:pPr>
              <w:spacing w:after="0" w:line="240" w:lineRule="auto"/>
              <w:rPr>
                <w:rFonts w:eastAsia="Times New Roman"/>
                <w:snapToGrid w:val="0"/>
                <w:sz w:val="20"/>
                <w:szCs w:val="20"/>
                <w:lang w:val="fr-BE" w:eastAsia="fr-FR"/>
              </w:rPr>
            </w:pPr>
          </w:p>
          <w:p w14:paraId="3093C241"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sym w:font="Symbol" w:char="F05B"/>
            </w:r>
            <w:r w:rsidRPr="00C57832">
              <w:rPr>
                <w:rFonts w:eastAsia="Times New Roman"/>
                <w:snapToGrid w:val="0"/>
                <w:sz w:val="20"/>
                <w:szCs w:val="20"/>
                <w:lang w:val="fr-BE" w:eastAsia="fr-FR"/>
              </w:rPr>
              <w:t>en lettres et en chiffres en EURO</w:t>
            </w:r>
            <w:r w:rsidRPr="00C57832">
              <w:rPr>
                <w:rFonts w:eastAsia="Times New Roman"/>
                <w:snapToGrid w:val="0"/>
                <w:sz w:val="20"/>
                <w:szCs w:val="20"/>
                <w:lang w:val="fr-BE" w:eastAsia="fr-FR"/>
              </w:rPr>
              <w:sym w:font="Symbol" w:char="F05D"/>
            </w:r>
          </w:p>
        </w:tc>
      </w:tr>
    </w:tbl>
    <w:p w14:paraId="41FDC337" w14:textId="77777777" w:rsidR="001617B2" w:rsidRPr="00C57832" w:rsidRDefault="001617B2" w:rsidP="001617B2">
      <w:pPr>
        <w:spacing w:after="0" w:line="240" w:lineRule="auto"/>
        <w:ind w:right="-1"/>
        <w:rPr>
          <w:rFonts w:eastAsia="Times New Roman"/>
          <w:sz w:val="20"/>
          <w:szCs w:val="20"/>
          <w:lang w:val="fr-BE" w:eastAsia="nl-NL"/>
        </w:rPr>
      </w:pPr>
    </w:p>
    <w:p w14:paraId="3F36DE09"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t xml:space="preserve">c) prix unitaire forfaitaire, hors T.V.A., pour </w:t>
      </w:r>
      <w:r w:rsidRPr="00C57832">
        <w:rPr>
          <w:rFonts w:eastAsia="Times New Roman"/>
          <w:snapToGrid w:val="0"/>
          <w:sz w:val="20"/>
          <w:szCs w:val="20"/>
          <w:lang w:val="fr-BE" w:eastAsia="fr-FR"/>
        </w:rPr>
        <w:fldChar w:fldCharType="begin">
          <w:ffData>
            <w:name w:val="Tekstvak9"/>
            <w:enabled/>
            <w:calcOnExit w:val="0"/>
            <w:textInput>
              <w:default w:val="&lt;compléter&gt;"/>
            </w:textInput>
          </w:ffData>
        </w:fldChar>
      </w:r>
      <w:r w:rsidRPr="00C57832">
        <w:rPr>
          <w:rFonts w:eastAsia="Times New Roman"/>
          <w:snapToGrid w:val="0"/>
          <w:sz w:val="20"/>
          <w:szCs w:val="20"/>
          <w:lang w:val="fr-BE" w:eastAsia="fr-FR"/>
        </w:rPr>
        <w:instrText xml:space="preserve"> FORMTEXT </w:instrText>
      </w:r>
      <w:r w:rsidRPr="00C57832">
        <w:rPr>
          <w:rFonts w:eastAsia="Times New Roman"/>
          <w:snapToGrid w:val="0"/>
          <w:sz w:val="20"/>
          <w:szCs w:val="20"/>
          <w:lang w:val="fr-BE" w:eastAsia="fr-FR"/>
        </w:rPr>
      </w:r>
      <w:r w:rsidRPr="00C57832">
        <w:rPr>
          <w:rFonts w:eastAsia="Times New Roman"/>
          <w:snapToGrid w:val="0"/>
          <w:sz w:val="20"/>
          <w:szCs w:val="20"/>
          <w:lang w:val="fr-BE" w:eastAsia="fr-FR"/>
        </w:rPr>
        <w:fldChar w:fldCharType="separate"/>
      </w:r>
      <w:r w:rsidRPr="00C57832">
        <w:rPr>
          <w:rFonts w:eastAsia="Times New Roman"/>
          <w:snapToGrid w:val="0"/>
          <w:sz w:val="20"/>
          <w:szCs w:val="20"/>
          <w:lang w:val="fr-BE" w:eastAsia="fr-FR"/>
        </w:rPr>
        <w:t>&lt;compléter&gt;</w:t>
      </w:r>
      <w:r w:rsidRPr="00C57832">
        <w:rPr>
          <w:rFonts w:eastAsia="Times New Roman"/>
          <w:snapToGrid w:val="0"/>
          <w:sz w:val="20"/>
          <w:szCs w:val="20"/>
          <w:lang w:val="fr-BE" w:eastAsia="fr-FR"/>
        </w:rPr>
        <w:fldChar w:fldCharType="end"/>
      </w:r>
      <w:r w:rsidRPr="00C57832">
        <w:rPr>
          <w:rFonts w:eastAsia="Times New Roman"/>
          <w:snapToGrid w:val="0"/>
          <w:sz w:val="20"/>
          <w:szCs w:val="20"/>
          <w:lang w:val="fr-BE" w:eastAsia="fr-FR"/>
        </w:rPr>
        <w:t> :</w:t>
      </w:r>
    </w:p>
    <w:p w14:paraId="36F0DCEE" w14:textId="77777777" w:rsidR="001617B2" w:rsidRPr="00C57832" w:rsidRDefault="001617B2" w:rsidP="001617B2">
      <w:pPr>
        <w:spacing w:after="0" w:line="240" w:lineRule="auto"/>
        <w:rPr>
          <w:rFonts w:eastAsia="Times New Roman"/>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617B2" w:rsidRPr="007174D8" w14:paraId="332CD84E" w14:textId="77777777" w:rsidTr="00E52272">
        <w:tc>
          <w:tcPr>
            <w:tcW w:w="9211" w:type="dxa"/>
          </w:tcPr>
          <w:p w14:paraId="5158723F" w14:textId="77777777" w:rsidR="001617B2" w:rsidRPr="00C57832" w:rsidRDefault="001617B2" w:rsidP="001617B2">
            <w:pPr>
              <w:spacing w:after="0" w:line="240" w:lineRule="auto"/>
              <w:rPr>
                <w:rFonts w:eastAsia="Times New Roman"/>
                <w:snapToGrid w:val="0"/>
                <w:sz w:val="20"/>
                <w:szCs w:val="20"/>
                <w:lang w:val="fr-BE" w:eastAsia="fr-FR"/>
              </w:rPr>
            </w:pPr>
          </w:p>
          <w:p w14:paraId="4923C848" w14:textId="77777777" w:rsidR="001617B2" w:rsidRPr="00C57832" w:rsidRDefault="001617B2" w:rsidP="001617B2">
            <w:pPr>
              <w:spacing w:after="0" w:line="240" w:lineRule="auto"/>
              <w:rPr>
                <w:rFonts w:eastAsia="Times New Roman"/>
                <w:snapToGrid w:val="0"/>
                <w:sz w:val="20"/>
                <w:szCs w:val="20"/>
                <w:lang w:val="fr-BE" w:eastAsia="fr-FR"/>
              </w:rPr>
            </w:pPr>
          </w:p>
          <w:p w14:paraId="7CC7537C" w14:textId="77777777" w:rsidR="001617B2" w:rsidRPr="00C57832" w:rsidRDefault="001617B2" w:rsidP="001617B2">
            <w:pPr>
              <w:spacing w:after="0" w:line="240" w:lineRule="auto"/>
              <w:rPr>
                <w:rFonts w:eastAsia="Times New Roman"/>
                <w:snapToGrid w:val="0"/>
                <w:sz w:val="20"/>
                <w:szCs w:val="20"/>
                <w:lang w:val="fr-BE" w:eastAsia="fr-FR"/>
              </w:rPr>
            </w:pPr>
          </w:p>
          <w:p w14:paraId="05DABA61"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sym w:font="Symbol" w:char="F05B"/>
            </w:r>
            <w:r w:rsidRPr="00C57832">
              <w:rPr>
                <w:rFonts w:eastAsia="Times New Roman"/>
                <w:snapToGrid w:val="0"/>
                <w:sz w:val="20"/>
                <w:szCs w:val="20"/>
                <w:lang w:val="fr-BE" w:eastAsia="fr-FR"/>
              </w:rPr>
              <w:t>en lettres et en chiffres en EURO</w:t>
            </w:r>
            <w:r w:rsidRPr="00C57832">
              <w:rPr>
                <w:rFonts w:eastAsia="Times New Roman"/>
                <w:snapToGrid w:val="0"/>
                <w:sz w:val="20"/>
                <w:szCs w:val="20"/>
                <w:lang w:val="fr-BE" w:eastAsia="fr-FR"/>
              </w:rPr>
              <w:sym w:font="Symbol" w:char="F05D"/>
            </w:r>
          </w:p>
        </w:tc>
      </w:tr>
    </w:tbl>
    <w:p w14:paraId="5A730399" w14:textId="77777777" w:rsidR="001617B2" w:rsidRPr="00C57832" w:rsidRDefault="001617B2" w:rsidP="001617B2">
      <w:pPr>
        <w:spacing w:after="0" w:line="240" w:lineRule="auto"/>
        <w:rPr>
          <w:rFonts w:eastAsia="Times New Roman"/>
          <w:snapToGrid w:val="0"/>
          <w:sz w:val="20"/>
          <w:szCs w:val="20"/>
          <w:lang w:val="fr-BE" w:eastAsia="fr-FR"/>
        </w:rPr>
      </w:pPr>
    </w:p>
    <w:p w14:paraId="095DE791" w14:textId="77777777" w:rsidR="001617B2" w:rsidRPr="00C57832" w:rsidRDefault="001617B2" w:rsidP="001617B2">
      <w:pPr>
        <w:spacing w:after="0" w:line="240" w:lineRule="auto"/>
        <w:rPr>
          <w:rFonts w:eastAsia="Times New Roman"/>
          <w:snapToGrid w:val="0"/>
          <w:sz w:val="20"/>
          <w:szCs w:val="20"/>
          <w:lang w:val="fr-BE" w:eastAsia="fr-FR"/>
        </w:rPr>
      </w:pPr>
      <w:proofErr w:type="gramStart"/>
      <w:r w:rsidRPr="00C57832">
        <w:rPr>
          <w:rFonts w:eastAsia="Times New Roman"/>
          <w:snapToGrid w:val="0"/>
          <w:sz w:val="20"/>
          <w:szCs w:val="20"/>
          <w:lang w:val="fr-BE" w:eastAsia="fr-FR"/>
        </w:rPr>
        <w:t>auquel</w:t>
      </w:r>
      <w:proofErr w:type="gramEnd"/>
      <w:r w:rsidRPr="00C57832">
        <w:rPr>
          <w:rFonts w:eastAsia="Times New Roman"/>
          <w:snapToGrid w:val="0"/>
          <w:sz w:val="20"/>
          <w:szCs w:val="20"/>
          <w:lang w:val="fr-BE" w:eastAsia="fr-FR"/>
        </w:rPr>
        <w:t xml:space="preserve"> doit être ajoutée la T.V.A., soit un montant de :</w:t>
      </w:r>
    </w:p>
    <w:p w14:paraId="72895720" w14:textId="77777777" w:rsidR="001617B2" w:rsidRPr="00C57832" w:rsidRDefault="001617B2" w:rsidP="001617B2">
      <w:pPr>
        <w:spacing w:after="0" w:line="240" w:lineRule="auto"/>
        <w:rPr>
          <w:rFonts w:eastAsia="Times New Roman"/>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617B2" w:rsidRPr="007174D8" w14:paraId="240163D7" w14:textId="77777777" w:rsidTr="00E52272">
        <w:tc>
          <w:tcPr>
            <w:tcW w:w="9211" w:type="dxa"/>
          </w:tcPr>
          <w:p w14:paraId="19E06256" w14:textId="77777777" w:rsidR="001617B2" w:rsidRPr="00C57832" w:rsidRDefault="001617B2" w:rsidP="001617B2">
            <w:pPr>
              <w:spacing w:after="0" w:line="240" w:lineRule="auto"/>
              <w:rPr>
                <w:rFonts w:eastAsia="Times New Roman"/>
                <w:snapToGrid w:val="0"/>
                <w:sz w:val="20"/>
                <w:szCs w:val="20"/>
                <w:lang w:val="fr-BE" w:eastAsia="fr-FR"/>
              </w:rPr>
            </w:pPr>
          </w:p>
          <w:p w14:paraId="50292C85" w14:textId="77777777" w:rsidR="001617B2" w:rsidRPr="00C57832" w:rsidRDefault="001617B2" w:rsidP="001617B2">
            <w:pPr>
              <w:spacing w:after="0" w:line="240" w:lineRule="auto"/>
              <w:rPr>
                <w:rFonts w:eastAsia="Times New Roman"/>
                <w:snapToGrid w:val="0"/>
                <w:sz w:val="20"/>
                <w:szCs w:val="20"/>
                <w:lang w:val="fr-BE" w:eastAsia="fr-FR"/>
              </w:rPr>
            </w:pPr>
          </w:p>
          <w:p w14:paraId="569DDBC2" w14:textId="77777777" w:rsidR="001617B2" w:rsidRPr="00C57832" w:rsidRDefault="001617B2" w:rsidP="001617B2">
            <w:pPr>
              <w:spacing w:after="0" w:line="240" w:lineRule="auto"/>
              <w:rPr>
                <w:rFonts w:eastAsia="Times New Roman"/>
                <w:snapToGrid w:val="0"/>
                <w:sz w:val="20"/>
                <w:szCs w:val="20"/>
                <w:lang w:val="fr-BE" w:eastAsia="fr-FR"/>
              </w:rPr>
            </w:pPr>
          </w:p>
          <w:p w14:paraId="01047B78"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sym w:font="Symbol" w:char="F05B"/>
            </w:r>
            <w:r w:rsidRPr="00C57832">
              <w:rPr>
                <w:rFonts w:eastAsia="Times New Roman"/>
                <w:snapToGrid w:val="0"/>
                <w:sz w:val="20"/>
                <w:szCs w:val="20"/>
                <w:lang w:val="fr-BE" w:eastAsia="fr-FR"/>
              </w:rPr>
              <w:t>en lettres et en chiffres en EURO</w:t>
            </w:r>
            <w:r w:rsidRPr="00C57832">
              <w:rPr>
                <w:rFonts w:eastAsia="Times New Roman"/>
                <w:snapToGrid w:val="0"/>
                <w:sz w:val="20"/>
                <w:szCs w:val="20"/>
                <w:lang w:val="fr-BE" w:eastAsia="fr-FR"/>
              </w:rPr>
              <w:sym w:font="Symbol" w:char="F05D"/>
            </w:r>
          </w:p>
        </w:tc>
      </w:tr>
    </w:tbl>
    <w:p w14:paraId="64600041" w14:textId="77777777" w:rsidR="001617B2" w:rsidRPr="00C57832" w:rsidRDefault="001617B2" w:rsidP="001617B2">
      <w:pPr>
        <w:spacing w:after="0" w:line="240" w:lineRule="auto"/>
        <w:rPr>
          <w:rFonts w:eastAsia="Times New Roman"/>
          <w:snapToGrid w:val="0"/>
          <w:sz w:val="20"/>
          <w:szCs w:val="20"/>
          <w:lang w:val="fr-BE" w:eastAsia="fr-FR"/>
        </w:rPr>
      </w:pPr>
    </w:p>
    <w:p w14:paraId="51F69817" w14:textId="77777777" w:rsidR="001617B2" w:rsidRPr="00C57832" w:rsidRDefault="001617B2" w:rsidP="001617B2">
      <w:pPr>
        <w:spacing w:after="0" w:line="240" w:lineRule="auto"/>
        <w:rPr>
          <w:rFonts w:eastAsia="Times New Roman"/>
          <w:snapToGrid w:val="0"/>
          <w:sz w:val="20"/>
          <w:szCs w:val="20"/>
          <w:lang w:val="fr-BE" w:eastAsia="fr-FR"/>
        </w:rPr>
      </w:pPr>
      <w:proofErr w:type="gramStart"/>
      <w:r w:rsidRPr="00C57832">
        <w:rPr>
          <w:rFonts w:eastAsia="Times New Roman"/>
          <w:snapToGrid w:val="0"/>
          <w:sz w:val="20"/>
          <w:szCs w:val="20"/>
          <w:lang w:val="fr-BE" w:eastAsia="fr-FR"/>
        </w:rPr>
        <w:t>soit</w:t>
      </w:r>
      <w:proofErr w:type="gramEnd"/>
      <w:r w:rsidRPr="00C57832">
        <w:rPr>
          <w:rFonts w:eastAsia="Times New Roman"/>
          <w:snapToGrid w:val="0"/>
          <w:sz w:val="20"/>
          <w:szCs w:val="20"/>
          <w:lang w:val="fr-BE" w:eastAsia="fr-FR"/>
        </w:rPr>
        <w:t xml:space="preserve"> un prix unitaire forfaitaire, T.V.A. incluse, de :</w:t>
      </w:r>
    </w:p>
    <w:p w14:paraId="7C357DAC" w14:textId="77777777" w:rsidR="001617B2" w:rsidRPr="00C57832" w:rsidRDefault="001617B2" w:rsidP="001617B2">
      <w:pPr>
        <w:spacing w:after="0" w:line="240" w:lineRule="auto"/>
        <w:rPr>
          <w:rFonts w:eastAsia="Times New Roman"/>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617B2" w:rsidRPr="007174D8" w14:paraId="1C896261" w14:textId="77777777" w:rsidTr="00E52272">
        <w:tc>
          <w:tcPr>
            <w:tcW w:w="9211" w:type="dxa"/>
          </w:tcPr>
          <w:p w14:paraId="2B232F17" w14:textId="77777777" w:rsidR="001617B2" w:rsidRPr="00C57832" w:rsidRDefault="001617B2" w:rsidP="001617B2">
            <w:pPr>
              <w:spacing w:after="0" w:line="240" w:lineRule="auto"/>
              <w:rPr>
                <w:rFonts w:eastAsia="Times New Roman"/>
                <w:snapToGrid w:val="0"/>
                <w:sz w:val="20"/>
                <w:szCs w:val="20"/>
                <w:lang w:val="fr-BE" w:eastAsia="fr-FR"/>
              </w:rPr>
            </w:pPr>
          </w:p>
          <w:p w14:paraId="7FD245B7" w14:textId="77777777" w:rsidR="001617B2" w:rsidRPr="00C57832" w:rsidRDefault="001617B2" w:rsidP="001617B2">
            <w:pPr>
              <w:spacing w:after="0" w:line="240" w:lineRule="auto"/>
              <w:rPr>
                <w:rFonts w:eastAsia="Times New Roman"/>
                <w:snapToGrid w:val="0"/>
                <w:sz w:val="20"/>
                <w:szCs w:val="20"/>
                <w:lang w:val="fr-BE" w:eastAsia="fr-FR"/>
              </w:rPr>
            </w:pPr>
          </w:p>
          <w:p w14:paraId="40C97ECF" w14:textId="77777777" w:rsidR="001617B2" w:rsidRPr="00C57832" w:rsidRDefault="001617B2" w:rsidP="001617B2">
            <w:pPr>
              <w:spacing w:after="0" w:line="240" w:lineRule="auto"/>
              <w:rPr>
                <w:rFonts w:eastAsia="Times New Roman"/>
                <w:snapToGrid w:val="0"/>
                <w:sz w:val="20"/>
                <w:szCs w:val="20"/>
                <w:lang w:val="fr-BE" w:eastAsia="fr-FR"/>
              </w:rPr>
            </w:pPr>
          </w:p>
          <w:p w14:paraId="0D129276"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sym w:font="Symbol" w:char="F05B"/>
            </w:r>
            <w:r w:rsidRPr="00C57832">
              <w:rPr>
                <w:rFonts w:eastAsia="Times New Roman"/>
                <w:snapToGrid w:val="0"/>
                <w:sz w:val="20"/>
                <w:szCs w:val="20"/>
                <w:lang w:val="fr-BE" w:eastAsia="fr-FR"/>
              </w:rPr>
              <w:t>en lettres et en chiffres en EURO</w:t>
            </w:r>
            <w:r w:rsidRPr="00C57832">
              <w:rPr>
                <w:rFonts w:eastAsia="Times New Roman"/>
                <w:snapToGrid w:val="0"/>
                <w:sz w:val="20"/>
                <w:szCs w:val="20"/>
                <w:lang w:val="fr-BE" w:eastAsia="fr-FR"/>
              </w:rPr>
              <w:sym w:font="Symbol" w:char="F05D"/>
            </w:r>
          </w:p>
        </w:tc>
      </w:tr>
    </w:tbl>
    <w:p w14:paraId="5D8FEED7" w14:textId="77777777" w:rsidR="001617B2" w:rsidRPr="00C57832" w:rsidRDefault="001617B2" w:rsidP="001617B2">
      <w:pPr>
        <w:spacing w:after="0" w:line="240" w:lineRule="auto"/>
        <w:ind w:right="-1"/>
        <w:rPr>
          <w:rFonts w:eastAsia="Times New Roman"/>
          <w:sz w:val="20"/>
          <w:szCs w:val="20"/>
          <w:lang w:val="fr-BE" w:eastAsia="nl-NL"/>
        </w:rPr>
      </w:pPr>
    </w:p>
    <w:p w14:paraId="75CA9282" w14:textId="77777777" w:rsidR="001617B2" w:rsidRPr="00C57832" w:rsidRDefault="001617B2" w:rsidP="001617B2">
      <w:pPr>
        <w:spacing w:after="0" w:line="240" w:lineRule="auto"/>
        <w:ind w:right="-1"/>
        <w:rPr>
          <w:rFonts w:eastAsia="Times New Roman"/>
          <w:sz w:val="20"/>
          <w:szCs w:val="20"/>
          <w:lang w:val="fr-BE" w:eastAsia="nl-NL"/>
        </w:rPr>
      </w:pPr>
      <w:r w:rsidRPr="00C57832">
        <w:rPr>
          <w:rFonts w:eastAsia="Times New Roman"/>
          <w:sz w:val="20"/>
          <w:szCs w:val="20"/>
          <w:lang w:val="fr-BE" w:eastAsia="nl-NL"/>
        </w:rPr>
        <w:t>…………………………………………………………………………………………………………………….</w:t>
      </w:r>
    </w:p>
    <w:p w14:paraId="77636E59" w14:textId="77777777" w:rsidR="001617B2" w:rsidRPr="00C57832" w:rsidRDefault="001617B2" w:rsidP="001617B2">
      <w:pPr>
        <w:spacing w:after="0" w:line="240" w:lineRule="auto"/>
        <w:ind w:right="-1"/>
        <w:rPr>
          <w:rFonts w:eastAsia="Times New Roman"/>
          <w:sz w:val="20"/>
          <w:szCs w:val="20"/>
          <w:lang w:val="fr-BE" w:eastAsia="nl-NL"/>
        </w:rPr>
      </w:pPr>
    </w:p>
    <w:p w14:paraId="3C8D468A" w14:textId="77777777" w:rsidR="001617B2" w:rsidRPr="00C57832" w:rsidRDefault="001617B2" w:rsidP="001617B2">
      <w:pPr>
        <w:spacing w:after="0" w:line="240" w:lineRule="auto"/>
        <w:ind w:right="-1"/>
        <w:rPr>
          <w:rFonts w:eastAsia="Times New Roman"/>
          <w:sz w:val="20"/>
          <w:szCs w:val="20"/>
          <w:lang w:val="fr-BE" w:eastAsia="nl-NL"/>
        </w:rPr>
      </w:pPr>
      <w:r w:rsidRPr="00C57832">
        <w:rPr>
          <w:rFonts w:eastAsia="Times New Roman"/>
          <w:sz w:val="20"/>
          <w:szCs w:val="20"/>
          <w:lang w:val="fr-BE" w:eastAsia="nl-NL"/>
        </w:rPr>
        <w:t>En cas d’approbation de la présente offre, le cautionnement sera constitué dans les conditions et délais prescrits dans le cahier spécial des charges.</w:t>
      </w:r>
    </w:p>
    <w:p w14:paraId="12D7FFDE" w14:textId="77777777" w:rsidR="001617B2" w:rsidRPr="00C57832" w:rsidRDefault="001617B2" w:rsidP="001617B2">
      <w:pPr>
        <w:spacing w:after="0" w:line="240" w:lineRule="auto"/>
        <w:ind w:right="-1"/>
        <w:rPr>
          <w:rFonts w:eastAsia="Times New Roman"/>
          <w:sz w:val="20"/>
          <w:szCs w:val="20"/>
          <w:lang w:val="fr-BE" w:eastAsia="nl-NL"/>
        </w:rPr>
      </w:pPr>
    </w:p>
    <w:p w14:paraId="037F9210" w14:textId="77777777" w:rsidR="001617B2" w:rsidRPr="00C57832" w:rsidRDefault="001617B2" w:rsidP="001617B2">
      <w:pPr>
        <w:spacing w:after="0" w:line="240" w:lineRule="auto"/>
        <w:ind w:right="-1"/>
        <w:rPr>
          <w:rFonts w:eastAsia="Times New Roman"/>
          <w:sz w:val="20"/>
          <w:szCs w:val="20"/>
          <w:lang w:val="fr-BE" w:eastAsia="nl-NL"/>
        </w:rPr>
      </w:pPr>
      <w:r w:rsidRPr="00C57832">
        <w:rPr>
          <w:rFonts w:eastAsia="Times New Roman"/>
          <w:sz w:val="20"/>
          <w:szCs w:val="20"/>
          <w:lang w:val="fr-BE" w:eastAsia="nl-NL"/>
        </w:rPr>
        <w:t xml:space="preserve">Cette soumission comprend l'engagement de faire parvenir au pouvoir adjudicateur sur simple demande et dans les délais les plus courts les documents et attestations dont le </w:t>
      </w:r>
      <w:r w:rsidRPr="00C57832">
        <w:rPr>
          <w:rFonts w:eastAsia="Times New Roman"/>
          <w:sz w:val="20"/>
          <w:szCs w:val="20"/>
          <w:lang w:val="fr-BE" w:eastAsia="nl-NL"/>
        </w:rPr>
        <w:lastRenderedPageBreak/>
        <w:t xml:space="preserve">pouvoir adjudicateur exigerait la remise conformément au cahier </w:t>
      </w:r>
      <w:proofErr w:type="gramStart"/>
      <w:r w:rsidRPr="00C57832">
        <w:rPr>
          <w:rFonts w:eastAsia="Times New Roman"/>
          <w:sz w:val="20"/>
          <w:szCs w:val="20"/>
          <w:lang w:val="fr-BE" w:eastAsia="nl-NL"/>
        </w:rPr>
        <w:t>des charges relatif</w:t>
      </w:r>
      <w:proofErr w:type="gramEnd"/>
      <w:r w:rsidRPr="00C57832">
        <w:rPr>
          <w:rFonts w:eastAsia="Times New Roman"/>
          <w:sz w:val="20"/>
          <w:szCs w:val="20"/>
          <w:lang w:val="fr-BE" w:eastAsia="nl-NL"/>
        </w:rPr>
        <w:t xml:space="preserve"> au Marché ou à l’AR Exécution et l’AR du 18 avril 2017.</w:t>
      </w:r>
    </w:p>
    <w:p w14:paraId="50131BF2" w14:textId="543D7418" w:rsidR="001617B2" w:rsidRPr="00C57832" w:rsidRDefault="001617B2" w:rsidP="001617B2">
      <w:pPr>
        <w:spacing w:after="0" w:line="240" w:lineRule="auto"/>
        <w:ind w:right="-1"/>
        <w:rPr>
          <w:rFonts w:eastAsia="Times New Roman"/>
          <w:sz w:val="20"/>
          <w:szCs w:val="20"/>
          <w:lang w:val="fr-BE" w:eastAsia="nl-NL"/>
        </w:rPr>
      </w:pPr>
      <w:r w:rsidRPr="0012737C">
        <w:rPr>
          <w:rFonts w:eastAsia="Times New Roman"/>
          <w:sz w:val="20"/>
          <w:szCs w:val="20"/>
          <w:lang w:val="fr-BE" w:eastAsia="nl-NL"/>
        </w:rPr>
        <w:t xml:space="preserve">Documents devant être joints à cette </w:t>
      </w:r>
      <w:proofErr w:type="gramStart"/>
      <w:r w:rsidRPr="0012737C">
        <w:rPr>
          <w:rFonts w:eastAsia="Times New Roman"/>
          <w:sz w:val="20"/>
          <w:szCs w:val="20"/>
          <w:lang w:val="fr-BE" w:eastAsia="nl-NL"/>
        </w:rPr>
        <w:t>soumission:</w:t>
      </w:r>
      <w:proofErr w:type="gramEnd"/>
      <w:r w:rsidRPr="0012737C">
        <w:rPr>
          <w:rFonts w:eastAsia="Times New Roman"/>
          <w:sz w:val="20"/>
          <w:szCs w:val="20"/>
          <w:lang w:val="fr-BE" w:eastAsia="nl-NL"/>
        </w:rPr>
        <w:t xml:space="preserve"> voir article </w:t>
      </w:r>
      <w:r w:rsidR="00853AF5" w:rsidRPr="0012737C">
        <w:rPr>
          <w:rFonts w:eastAsia="Times New Roman"/>
          <w:sz w:val="20"/>
          <w:szCs w:val="20"/>
          <w:lang w:val="fr-BE" w:eastAsia="nl-NL"/>
        </w:rPr>
        <w:t>8</w:t>
      </w:r>
      <w:r w:rsidRPr="0012737C">
        <w:rPr>
          <w:rFonts w:eastAsia="Times New Roman"/>
          <w:sz w:val="20"/>
          <w:szCs w:val="20"/>
          <w:lang w:val="fr-BE" w:eastAsia="nl-NL"/>
        </w:rPr>
        <w:t xml:space="preserve"> du cahier des charges et annexe G.</w:t>
      </w:r>
    </w:p>
    <w:p w14:paraId="0823EC3B" w14:textId="77777777" w:rsidR="001617B2" w:rsidRPr="00C57832" w:rsidRDefault="001617B2" w:rsidP="001617B2">
      <w:pPr>
        <w:spacing w:after="0" w:line="240" w:lineRule="auto"/>
        <w:ind w:right="-1"/>
        <w:rPr>
          <w:rFonts w:eastAsia="Times New Roman"/>
          <w:sz w:val="20"/>
          <w:szCs w:val="20"/>
          <w:lang w:val="fr-BE" w:eastAsia="nl-NL"/>
        </w:rPr>
      </w:pPr>
    </w:p>
    <w:p w14:paraId="652A5AB0" w14:textId="77777777" w:rsidR="001617B2" w:rsidRPr="00C57832" w:rsidRDefault="001617B2" w:rsidP="001617B2">
      <w:pPr>
        <w:spacing w:after="0" w:line="240" w:lineRule="auto"/>
        <w:ind w:right="-1"/>
        <w:rPr>
          <w:rFonts w:eastAsia="Times New Roman"/>
          <w:sz w:val="20"/>
          <w:szCs w:val="20"/>
          <w:lang w:val="fr-BE" w:eastAsia="nl-NL"/>
        </w:rPr>
      </w:pPr>
      <w:r w:rsidRPr="00C57832">
        <w:rPr>
          <w:rFonts w:eastAsia="Times New Roman"/>
          <w:sz w:val="20"/>
          <w:szCs w:val="20"/>
          <w:lang w:val="fr-BE" w:eastAsia="nl-NL"/>
        </w:rPr>
        <w:t>L’information confidentielle et/ou l’information qui se rapporte à des secrets techniques ou commerciaux est clairement indiquée dans l’offre.</w:t>
      </w:r>
    </w:p>
    <w:p w14:paraId="24E6082D" w14:textId="77777777" w:rsidR="001617B2" w:rsidRPr="00C57832" w:rsidRDefault="001617B2" w:rsidP="001617B2">
      <w:pPr>
        <w:spacing w:after="0" w:line="240" w:lineRule="auto"/>
        <w:ind w:right="-1"/>
        <w:rPr>
          <w:rFonts w:eastAsia="Times New Roman"/>
          <w:sz w:val="20"/>
          <w:szCs w:val="20"/>
          <w:lang w:val="fr-BE" w:eastAsia="nl-NL"/>
        </w:rPr>
      </w:pPr>
    </w:p>
    <w:p w14:paraId="27D471F4" w14:textId="77777777" w:rsidR="001617B2" w:rsidRPr="00C57832" w:rsidRDefault="001617B2" w:rsidP="001617B2">
      <w:pPr>
        <w:spacing w:after="0" w:line="240" w:lineRule="auto"/>
        <w:ind w:right="-1"/>
        <w:rPr>
          <w:rFonts w:eastAsia="Times New Roman"/>
          <w:sz w:val="20"/>
          <w:szCs w:val="20"/>
          <w:lang w:val="fr-BE" w:eastAsia="nl-NL"/>
        </w:rPr>
      </w:pPr>
      <w:r w:rsidRPr="00C57832">
        <w:rPr>
          <w:rFonts w:eastAsia="Times New Roman"/>
          <w:sz w:val="20"/>
          <w:szCs w:val="20"/>
          <w:lang w:val="fr-BE" w:eastAsia="nl-NL"/>
        </w:rPr>
        <w:t>L’organisme de paiement du pouvoir adjudicateur payera les sommes dues par virement ou versement</w:t>
      </w:r>
    </w:p>
    <w:p w14:paraId="1C245BAF" w14:textId="77777777" w:rsidR="001617B2" w:rsidRPr="00C57832" w:rsidRDefault="001617B2" w:rsidP="001617B2">
      <w:pPr>
        <w:spacing w:after="0" w:line="240" w:lineRule="auto"/>
        <w:ind w:right="-1"/>
        <w:rPr>
          <w:rFonts w:eastAsia="Times New Roman"/>
          <w:sz w:val="20"/>
          <w:szCs w:val="20"/>
          <w:lang w:val="fr-BE" w:eastAsia="nl-NL"/>
        </w:rPr>
      </w:pP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617B2" w:rsidRPr="007174D8" w14:paraId="05EBA9CA" w14:textId="77777777" w:rsidTr="00E52272">
        <w:tc>
          <w:tcPr>
            <w:tcW w:w="2622" w:type="dxa"/>
          </w:tcPr>
          <w:p w14:paraId="39DE0B56" w14:textId="77777777" w:rsidR="001617B2" w:rsidRPr="00C57832" w:rsidRDefault="001617B2" w:rsidP="001617B2">
            <w:pPr>
              <w:spacing w:after="0" w:line="240" w:lineRule="auto"/>
              <w:rPr>
                <w:rFonts w:eastAsia="Times New Roman"/>
                <w:sz w:val="20"/>
                <w:szCs w:val="20"/>
                <w:lang w:val="fr-BE" w:eastAsia="nl-NL"/>
              </w:rPr>
            </w:pPr>
            <w:proofErr w:type="gramStart"/>
            <w:r w:rsidRPr="00C57832">
              <w:rPr>
                <w:rFonts w:eastAsia="Times New Roman"/>
                <w:sz w:val="20"/>
                <w:szCs w:val="20"/>
                <w:lang w:val="fr-BE" w:eastAsia="nl-NL"/>
              </w:rPr>
              <w:t>sur</w:t>
            </w:r>
            <w:proofErr w:type="gramEnd"/>
            <w:r w:rsidRPr="00C57832">
              <w:rPr>
                <w:rFonts w:eastAsia="Times New Roman"/>
                <w:sz w:val="20"/>
                <w:szCs w:val="20"/>
                <w:lang w:val="fr-BE" w:eastAsia="nl-NL"/>
              </w:rPr>
              <w:t xml:space="preserve"> le compte n° :</w:t>
            </w:r>
          </w:p>
          <w:p w14:paraId="1665B604" w14:textId="77777777" w:rsidR="001617B2" w:rsidRPr="00C57832" w:rsidRDefault="001617B2" w:rsidP="001617B2">
            <w:pPr>
              <w:spacing w:after="0" w:line="240" w:lineRule="auto"/>
              <w:rPr>
                <w:rFonts w:eastAsia="Times New Roman"/>
                <w:sz w:val="20"/>
                <w:szCs w:val="20"/>
                <w:lang w:val="fr-BE" w:eastAsia="nl-NL"/>
              </w:rPr>
            </w:pPr>
          </w:p>
          <w:p w14:paraId="57046DC6" w14:textId="77777777" w:rsidR="001617B2" w:rsidRPr="00C57832" w:rsidRDefault="001617B2" w:rsidP="001617B2">
            <w:pPr>
              <w:spacing w:after="0" w:line="240" w:lineRule="auto"/>
              <w:rPr>
                <w:rFonts w:eastAsia="Times New Roman"/>
                <w:sz w:val="20"/>
                <w:szCs w:val="20"/>
                <w:lang w:val="fr-BE" w:eastAsia="nl-NL"/>
              </w:rPr>
            </w:pPr>
            <w:r w:rsidRPr="00C57832">
              <w:rPr>
                <w:rFonts w:eastAsia="Times New Roman"/>
                <w:sz w:val="20"/>
                <w:szCs w:val="20"/>
                <w:lang w:val="fr-BE" w:eastAsia="nl-NL"/>
              </w:rPr>
              <w:t>IBAN</w:t>
            </w:r>
          </w:p>
          <w:p w14:paraId="5FF43937" w14:textId="77777777" w:rsidR="001617B2" w:rsidRPr="00C57832" w:rsidRDefault="001617B2" w:rsidP="001617B2">
            <w:pPr>
              <w:spacing w:after="0" w:line="240" w:lineRule="auto"/>
              <w:rPr>
                <w:rFonts w:eastAsia="Times New Roman"/>
                <w:sz w:val="20"/>
                <w:szCs w:val="20"/>
                <w:lang w:val="fr-BE" w:eastAsia="nl-NL"/>
              </w:rPr>
            </w:pPr>
          </w:p>
          <w:p w14:paraId="3743EF96" w14:textId="77777777" w:rsidR="001617B2" w:rsidRPr="00C57832" w:rsidRDefault="001617B2" w:rsidP="001617B2">
            <w:pPr>
              <w:spacing w:after="0" w:line="240" w:lineRule="auto"/>
              <w:rPr>
                <w:rFonts w:eastAsia="Times New Roman"/>
                <w:sz w:val="20"/>
                <w:szCs w:val="20"/>
                <w:lang w:val="fr-BE" w:eastAsia="nl-NL"/>
              </w:rPr>
            </w:pPr>
            <w:r w:rsidRPr="00C57832">
              <w:rPr>
                <w:rFonts w:eastAsia="Times New Roman"/>
                <w:sz w:val="20"/>
                <w:szCs w:val="20"/>
                <w:lang w:val="fr-BE" w:eastAsia="nl-NL"/>
              </w:rPr>
              <w:t>BIC</w:t>
            </w:r>
          </w:p>
        </w:tc>
        <w:tc>
          <w:tcPr>
            <w:tcW w:w="5245" w:type="dxa"/>
            <w:tcBorders>
              <w:top w:val="single" w:sz="6" w:space="0" w:color="auto"/>
              <w:left w:val="single" w:sz="6" w:space="0" w:color="auto"/>
              <w:bottom w:val="single" w:sz="6" w:space="0" w:color="auto"/>
              <w:right w:val="single" w:sz="6" w:space="0" w:color="auto"/>
            </w:tcBorders>
          </w:tcPr>
          <w:p w14:paraId="444B29F4" w14:textId="77777777" w:rsidR="001617B2" w:rsidRPr="00C57832" w:rsidRDefault="001617B2" w:rsidP="001617B2">
            <w:pPr>
              <w:spacing w:after="0" w:line="240" w:lineRule="auto"/>
              <w:rPr>
                <w:rFonts w:eastAsia="Times New Roman"/>
                <w:sz w:val="20"/>
                <w:szCs w:val="20"/>
                <w:lang w:val="fr-BE" w:eastAsia="nl-NL"/>
              </w:rPr>
            </w:pPr>
          </w:p>
          <w:p w14:paraId="12955507" w14:textId="77777777" w:rsidR="001617B2" w:rsidRPr="00C57832" w:rsidRDefault="001617B2" w:rsidP="001617B2">
            <w:pPr>
              <w:spacing w:after="0" w:line="240" w:lineRule="auto"/>
              <w:rPr>
                <w:rFonts w:eastAsia="Times New Roman"/>
                <w:sz w:val="20"/>
                <w:szCs w:val="20"/>
                <w:lang w:val="fr-BE" w:eastAsia="nl-NL"/>
              </w:rPr>
            </w:pPr>
          </w:p>
        </w:tc>
      </w:tr>
    </w:tbl>
    <w:p w14:paraId="3CDD5F5C" w14:textId="77777777" w:rsidR="001617B2" w:rsidRPr="00C57832" w:rsidRDefault="001617B2" w:rsidP="001617B2">
      <w:pPr>
        <w:spacing w:after="0" w:line="240" w:lineRule="auto"/>
        <w:ind w:right="-1"/>
        <w:rPr>
          <w:rFonts w:eastAsia="Times New Roman"/>
          <w:sz w:val="20"/>
          <w:szCs w:val="20"/>
          <w:lang w:val="fr-BE" w:eastAsia="nl-NL"/>
        </w:rPr>
      </w:pPr>
    </w:p>
    <w:tbl>
      <w:tblPr>
        <w:tblW w:w="0" w:type="auto"/>
        <w:tblLayout w:type="fixed"/>
        <w:tblCellMar>
          <w:left w:w="71" w:type="dxa"/>
          <w:right w:w="71" w:type="dxa"/>
        </w:tblCellMar>
        <w:tblLook w:val="0000" w:firstRow="0" w:lastRow="0" w:firstColumn="0" w:lastColumn="0" w:noHBand="0" w:noVBand="0"/>
      </w:tblPr>
      <w:tblGrid>
        <w:gridCol w:w="3757"/>
        <w:gridCol w:w="2551"/>
        <w:gridCol w:w="2835"/>
      </w:tblGrid>
      <w:tr w:rsidR="001617B2" w:rsidRPr="00C57832" w14:paraId="16BEA3CF" w14:textId="77777777" w:rsidTr="00E52272">
        <w:trPr>
          <w:trHeight w:val="320"/>
        </w:trPr>
        <w:tc>
          <w:tcPr>
            <w:tcW w:w="3757" w:type="dxa"/>
          </w:tcPr>
          <w:p w14:paraId="13A01003" w14:textId="77777777" w:rsidR="001617B2" w:rsidRPr="00C57832" w:rsidRDefault="001617B2" w:rsidP="001617B2">
            <w:pPr>
              <w:spacing w:after="0" w:line="240" w:lineRule="auto"/>
              <w:rPr>
                <w:rFonts w:eastAsia="Times New Roman"/>
                <w:snapToGrid w:val="0"/>
                <w:sz w:val="20"/>
                <w:szCs w:val="20"/>
                <w:lang w:val="fr-BE" w:eastAsia="fr-FR"/>
              </w:rPr>
            </w:pPr>
            <w:r w:rsidRPr="00C57832">
              <w:rPr>
                <w:rFonts w:eastAsia="Times New Roman"/>
                <w:snapToGrid w:val="0"/>
                <w:sz w:val="20"/>
                <w:szCs w:val="20"/>
                <w:lang w:val="fr-BE" w:eastAsia="fr-FR"/>
              </w:rPr>
              <w:t xml:space="preserve">Pour l’interprétation du contrat, la langue </w:t>
            </w:r>
          </w:p>
        </w:tc>
        <w:tc>
          <w:tcPr>
            <w:tcW w:w="2551" w:type="dxa"/>
            <w:tcBorders>
              <w:top w:val="single" w:sz="6" w:space="0" w:color="auto"/>
              <w:left w:val="single" w:sz="6" w:space="0" w:color="auto"/>
              <w:bottom w:val="single" w:sz="6" w:space="0" w:color="auto"/>
              <w:right w:val="single" w:sz="6" w:space="0" w:color="auto"/>
            </w:tcBorders>
          </w:tcPr>
          <w:p w14:paraId="7E92F06B" w14:textId="77777777" w:rsidR="001617B2" w:rsidRPr="00C57832" w:rsidRDefault="001617B2" w:rsidP="001617B2">
            <w:pPr>
              <w:spacing w:after="0" w:line="240" w:lineRule="auto"/>
              <w:rPr>
                <w:rFonts w:eastAsia="Times New Roman"/>
                <w:i/>
                <w:sz w:val="20"/>
                <w:szCs w:val="20"/>
                <w:lang w:val="fr-BE" w:eastAsia="nl-NL"/>
              </w:rPr>
            </w:pPr>
            <w:proofErr w:type="gramStart"/>
            <w:r w:rsidRPr="00C57832">
              <w:rPr>
                <w:rFonts w:eastAsia="Times New Roman"/>
                <w:sz w:val="20"/>
                <w:szCs w:val="20"/>
                <w:lang w:val="fr-BE" w:eastAsia="nl-NL"/>
              </w:rPr>
              <w:t>française</w:t>
            </w:r>
            <w:proofErr w:type="gramEnd"/>
            <w:r w:rsidRPr="00C57832">
              <w:rPr>
                <w:rFonts w:eastAsia="Times New Roman"/>
                <w:sz w:val="20"/>
                <w:szCs w:val="20"/>
                <w:lang w:val="fr-BE" w:eastAsia="nl-NL"/>
              </w:rPr>
              <w:t xml:space="preserve">/néerlandaise </w:t>
            </w:r>
            <w:r w:rsidRPr="00C57832">
              <w:rPr>
                <w:rFonts w:eastAsia="Times New Roman"/>
                <w:i/>
                <w:sz w:val="20"/>
                <w:szCs w:val="20"/>
                <w:lang w:val="fr-BE" w:eastAsia="nl-NL"/>
              </w:rPr>
              <w:t>(*)</w:t>
            </w:r>
          </w:p>
          <w:p w14:paraId="661E34F3" w14:textId="77777777" w:rsidR="001617B2" w:rsidRPr="00C57832" w:rsidRDefault="001617B2" w:rsidP="001617B2">
            <w:pPr>
              <w:spacing w:after="0" w:line="240" w:lineRule="auto"/>
              <w:rPr>
                <w:rFonts w:eastAsia="Times New Roman"/>
                <w:sz w:val="20"/>
                <w:szCs w:val="20"/>
                <w:lang w:val="fr-BE" w:eastAsia="nl-NL"/>
              </w:rPr>
            </w:pPr>
          </w:p>
        </w:tc>
        <w:tc>
          <w:tcPr>
            <w:tcW w:w="2835" w:type="dxa"/>
            <w:tcBorders>
              <w:left w:val="nil"/>
            </w:tcBorders>
          </w:tcPr>
          <w:p w14:paraId="2FE246B0" w14:textId="77777777" w:rsidR="001617B2" w:rsidRPr="00C57832" w:rsidRDefault="001617B2" w:rsidP="001617B2">
            <w:pPr>
              <w:spacing w:after="0" w:line="240" w:lineRule="auto"/>
              <w:rPr>
                <w:rFonts w:eastAsia="Times New Roman"/>
                <w:sz w:val="20"/>
                <w:szCs w:val="20"/>
                <w:lang w:val="fr-BE" w:eastAsia="nl-NL"/>
              </w:rPr>
            </w:pPr>
            <w:r w:rsidRPr="00C57832">
              <w:rPr>
                <w:rFonts w:eastAsia="Times New Roman"/>
                <w:sz w:val="20"/>
                <w:szCs w:val="20"/>
                <w:lang w:val="fr-BE" w:eastAsia="nl-NL"/>
              </w:rPr>
              <w:t xml:space="preserve"> est choisie.</w:t>
            </w:r>
          </w:p>
        </w:tc>
      </w:tr>
    </w:tbl>
    <w:p w14:paraId="2A9EF5D2" w14:textId="77777777" w:rsidR="001617B2" w:rsidRPr="00C57832" w:rsidRDefault="001617B2" w:rsidP="001617B2">
      <w:pPr>
        <w:spacing w:after="0" w:line="240" w:lineRule="auto"/>
        <w:ind w:right="-1"/>
        <w:rPr>
          <w:rFonts w:eastAsia="Times New Roman"/>
          <w:sz w:val="20"/>
          <w:szCs w:val="20"/>
          <w:lang w:val="fr-BE" w:eastAsia="nl-NL"/>
        </w:rPr>
      </w:pPr>
    </w:p>
    <w:p w14:paraId="2F4946EB" w14:textId="77777777" w:rsidR="001617B2" w:rsidRPr="00C57832" w:rsidRDefault="001617B2" w:rsidP="001617B2">
      <w:pPr>
        <w:spacing w:after="0" w:line="240" w:lineRule="auto"/>
        <w:ind w:right="-1"/>
        <w:rPr>
          <w:rFonts w:eastAsia="Times New Roman"/>
          <w:sz w:val="20"/>
          <w:szCs w:val="20"/>
          <w:lang w:val="fr-BE" w:eastAsia="nl-NL"/>
        </w:rPr>
      </w:pPr>
      <w:r w:rsidRPr="00C57832">
        <w:rPr>
          <w:rFonts w:eastAsia="Times New Roman"/>
          <w:sz w:val="20"/>
          <w:szCs w:val="20"/>
          <w:lang w:val="fr-BE" w:eastAsia="nl-NL"/>
        </w:rPr>
        <w:t>Toute correspondance concernant l’exécution du marché doit être envoyée à l’adresse suivante :</w:t>
      </w:r>
    </w:p>
    <w:p w14:paraId="29325FBE" w14:textId="77777777" w:rsidR="001617B2" w:rsidRPr="00C57832" w:rsidRDefault="001617B2" w:rsidP="001617B2">
      <w:pPr>
        <w:spacing w:after="0" w:line="240" w:lineRule="auto"/>
        <w:ind w:right="-1"/>
        <w:rPr>
          <w:rFonts w:eastAsia="Times New Roman"/>
          <w:sz w:val="20"/>
          <w:szCs w:val="20"/>
          <w:lang w:val="fr-BE" w:eastAsia="nl-NL"/>
        </w:rPr>
      </w:pPr>
    </w:p>
    <w:tbl>
      <w:tblPr>
        <w:tblW w:w="0" w:type="auto"/>
        <w:tblLayout w:type="fixed"/>
        <w:tblCellMar>
          <w:left w:w="70" w:type="dxa"/>
          <w:right w:w="70" w:type="dxa"/>
        </w:tblCellMar>
        <w:tblLook w:val="0000" w:firstRow="0" w:lastRow="0" w:firstColumn="0" w:lastColumn="0" w:noHBand="0" w:noVBand="0"/>
      </w:tblPr>
      <w:tblGrid>
        <w:gridCol w:w="9211"/>
      </w:tblGrid>
      <w:tr w:rsidR="001617B2" w:rsidRPr="007174D8" w14:paraId="2A0F8F91" w14:textId="77777777" w:rsidTr="00E52272">
        <w:tc>
          <w:tcPr>
            <w:tcW w:w="9211" w:type="dxa"/>
            <w:tcBorders>
              <w:top w:val="single" w:sz="6" w:space="0" w:color="auto"/>
              <w:left w:val="single" w:sz="6" w:space="0" w:color="auto"/>
              <w:bottom w:val="single" w:sz="6" w:space="0" w:color="auto"/>
              <w:right w:val="single" w:sz="6" w:space="0" w:color="auto"/>
            </w:tcBorders>
          </w:tcPr>
          <w:p w14:paraId="0C8FC29C" w14:textId="77777777" w:rsidR="001617B2" w:rsidRPr="00C57832" w:rsidRDefault="001617B2" w:rsidP="001617B2">
            <w:pPr>
              <w:spacing w:after="0" w:line="240" w:lineRule="auto"/>
              <w:jc w:val="right"/>
              <w:rPr>
                <w:rFonts w:eastAsia="Times New Roman"/>
                <w:sz w:val="20"/>
                <w:szCs w:val="20"/>
                <w:lang w:val="fr-BE" w:eastAsia="nl-NL"/>
              </w:rPr>
            </w:pPr>
          </w:p>
          <w:p w14:paraId="02299233" w14:textId="77777777" w:rsidR="001617B2" w:rsidRPr="00C57832" w:rsidRDefault="001617B2" w:rsidP="001617B2">
            <w:pPr>
              <w:spacing w:after="0" w:line="240" w:lineRule="auto"/>
              <w:jc w:val="right"/>
              <w:rPr>
                <w:rFonts w:eastAsia="Times New Roman"/>
                <w:sz w:val="20"/>
                <w:szCs w:val="20"/>
                <w:lang w:val="fr-BE" w:eastAsia="nl-NL"/>
              </w:rPr>
            </w:pPr>
            <w:r w:rsidRPr="00C57832">
              <w:rPr>
                <w:rFonts w:eastAsia="Times New Roman"/>
                <w:sz w:val="20"/>
                <w:szCs w:val="20"/>
                <w:lang w:val="fr-BE" w:eastAsia="nl-NL"/>
              </w:rPr>
              <w:t>(</w:t>
            </w:r>
            <w:proofErr w:type="gramStart"/>
            <w:r w:rsidRPr="00C57832">
              <w:rPr>
                <w:rFonts w:eastAsia="Times New Roman"/>
                <w:sz w:val="20"/>
                <w:szCs w:val="20"/>
                <w:lang w:val="fr-BE" w:eastAsia="nl-NL"/>
              </w:rPr>
              <w:t>rue</w:t>
            </w:r>
            <w:proofErr w:type="gramEnd"/>
            <w:r w:rsidRPr="00C57832">
              <w:rPr>
                <w:rFonts w:eastAsia="Times New Roman"/>
                <w:sz w:val="20"/>
                <w:szCs w:val="20"/>
                <w:lang w:val="fr-BE" w:eastAsia="nl-NL"/>
              </w:rPr>
              <w:t>)</w:t>
            </w:r>
          </w:p>
          <w:p w14:paraId="0FDA527F" w14:textId="77777777" w:rsidR="001617B2" w:rsidRPr="00C57832" w:rsidRDefault="001617B2" w:rsidP="001617B2">
            <w:pPr>
              <w:spacing w:after="0" w:line="240" w:lineRule="auto"/>
              <w:jc w:val="right"/>
              <w:rPr>
                <w:rFonts w:eastAsia="Times New Roman"/>
                <w:sz w:val="20"/>
                <w:szCs w:val="20"/>
                <w:lang w:val="fr-BE" w:eastAsia="nl-NL"/>
              </w:rPr>
            </w:pPr>
          </w:p>
          <w:p w14:paraId="459B8CCF" w14:textId="77777777" w:rsidR="001617B2" w:rsidRPr="00C57832" w:rsidRDefault="001617B2" w:rsidP="001617B2">
            <w:pPr>
              <w:spacing w:after="0" w:line="240" w:lineRule="auto"/>
              <w:jc w:val="right"/>
              <w:rPr>
                <w:rFonts w:eastAsia="Times New Roman"/>
                <w:sz w:val="20"/>
                <w:szCs w:val="20"/>
                <w:lang w:val="fr-BE" w:eastAsia="nl-NL"/>
              </w:rPr>
            </w:pPr>
            <w:r w:rsidRPr="00C57832">
              <w:rPr>
                <w:rFonts w:eastAsia="Times New Roman"/>
                <w:sz w:val="20"/>
                <w:szCs w:val="20"/>
                <w:lang w:val="fr-BE" w:eastAsia="nl-NL"/>
              </w:rPr>
              <w:t>(</w:t>
            </w:r>
            <w:proofErr w:type="gramStart"/>
            <w:r w:rsidRPr="00C57832">
              <w:rPr>
                <w:rFonts w:eastAsia="Times New Roman"/>
                <w:sz w:val="20"/>
                <w:szCs w:val="20"/>
                <w:lang w:val="fr-BE" w:eastAsia="nl-NL"/>
              </w:rPr>
              <w:t>code</w:t>
            </w:r>
            <w:proofErr w:type="gramEnd"/>
            <w:r w:rsidRPr="00C57832">
              <w:rPr>
                <w:rFonts w:eastAsia="Times New Roman"/>
                <w:sz w:val="20"/>
                <w:szCs w:val="20"/>
                <w:lang w:val="fr-BE" w:eastAsia="nl-NL"/>
              </w:rPr>
              <w:t xml:space="preserve"> postal et commune)</w:t>
            </w:r>
          </w:p>
          <w:p w14:paraId="7B75B44B" w14:textId="77777777" w:rsidR="001617B2" w:rsidRPr="00C57832" w:rsidRDefault="001617B2" w:rsidP="001617B2">
            <w:pPr>
              <w:spacing w:after="0" w:line="240" w:lineRule="auto"/>
              <w:jc w:val="right"/>
              <w:rPr>
                <w:rFonts w:eastAsia="Times New Roman"/>
                <w:sz w:val="20"/>
                <w:szCs w:val="20"/>
                <w:lang w:val="fr-BE" w:eastAsia="nl-NL"/>
              </w:rPr>
            </w:pPr>
          </w:p>
          <w:p w14:paraId="6D928BF1" w14:textId="77777777" w:rsidR="001617B2" w:rsidRPr="00C57832" w:rsidRDefault="001617B2" w:rsidP="001617B2">
            <w:pPr>
              <w:spacing w:after="60" w:line="240" w:lineRule="auto"/>
              <w:jc w:val="right"/>
              <w:rPr>
                <w:rFonts w:eastAsia="Times New Roman"/>
                <w:sz w:val="20"/>
                <w:szCs w:val="20"/>
                <w:lang w:val="fr-BE" w:eastAsia="nl-NL"/>
              </w:rPr>
            </w:pPr>
            <w:r w:rsidRPr="00C57832">
              <w:rPr>
                <w:rFonts w:eastAsia="Times New Roman"/>
                <w:sz w:val="20"/>
                <w:szCs w:val="20"/>
                <w:lang w:val="fr-BE" w:eastAsia="nl-NL"/>
              </w:rPr>
              <w:t xml:space="preserve">(n° de </w:t>
            </w:r>
            <w:r w:rsidRPr="00C57832">
              <w:rPr>
                <w:rFonts w:eastAsia="Times New Roman"/>
                <w:sz w:val="20"/>
                <w:szCs w:val="20"/>
                <w:lang w:val="fr-BE" w:eastAsia="nl-NL"/>
              </w:rPr>
              <w:sym w:font="Wingdings" w:char="F029"/>
            </w:r>
            <w:r w:rsidRPr="00C57832">
              <w:rPr>
                <w:rFonts w:eastAsia="Times New Roman"/>
                <w:sz w:val="20"/>
                <w:szCs w:val="20"/>
                <w:lang w:val="fr-BE" w:eastAsia="nl-NL"/>
              </w:rPr>
              <w:t xml:space="preserve"> et de fax)</w:t>
            </w:r>
            <w:r w:rsidRPr="00C57832">
              <w:rPr>
                <w:rFonts w:eastAsia="Times New Roman"/>
                <w:sz w:val="20"/>
                <w:szCs w:val="20"/>
                <w:lang w:val="fr-BE" w:eastAsia="nl-NL"/>
              </w:rPr>
              <w:br/>
            </w:r>
            <w:r w:rsidRPr="00C57832">
              <w:rPr>
                <w:rFonts w:eastAsia="Times New Roman"/>
                <w:sz w:val="20"/>
                <w:szCs w:val="20"/>
                <w:lang w:val="fr-BE" w:eastAsia="nl-NL"/>
              </w:rPr>
              <w:br/>
              <w:t xml:space="preserve">(adresse e-mail) </w:t>
            </w:r>
          </w:p>
        </w:tc>
      </w:tr>
    </w:tbl>
    <w:p w14:paraId="3203809F" w14:textId="77777777" w:rsidR="001617B2" w:rsidRPr="00C57832" w:rsidRDefault="001617B2" w:rsidP="001617B2">
      <w:pPr>
        <w:spacing w:after="0" w:line="240" w:lineRule="auto"/>
        <w:ind w:right="-1"/>
        <w:rPr>
          <w:rFonts w:eastAsia="Times New Roman"/>
          <w:sz w:val="20"/>
          <w:szCs w:val="20"/>
          <w:lang w:val="fr-BE" w:eastAsia="nl-NL"/>
        </w:rPr>
      </w:pPr>
    </w:p>
    <w:p w14:paraId="4B6A3086" w14:textId="77777777" w:rsidR="001617B2" w:rsidRPr="00C57832" w:rsidRDefault="001617B2" w:rsidP="001617B2">
      <w:pPr>
        <w:spacing w:after="0" w:line="240" w:lineRule="auto"/>
        <w:ind w:right="-1"/>
        <w:rPr>
          <w:rFonts w:eastAsia="Times New Roman"/>
          <w:sz w:val="20"/>
          <w:szCs w:val="20"/>
          <w:lang w:val="fr-BE" w:eastAsia="nl-NL"/>
        </w:rPr>
      </w:pPr>
    </w:p>
    <w:p w14:paraId="43D45993" w14:textId="77777777" w:rsidR="001617B2" w:rsidRPr="00C57832" w:rsidRDefault="001617B2" w:rsidP="001617B2">
      <w:pPr>
        <w:spacing w:after="0" w:line="240" w:lineRule="auto"/>
        <w:ind w:right="-1"/>
        <w:rPr>
          <w:rFonts w:eastAsia="Times New Roman"/>
          <w:sz w:val="20"/>
          <w:szCs w:val="20"/>
          <w:lang w:val="fr-BE" w:eastAsia="nl-NL"/>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617B2" w:rsidRPr="00C57832" w14:paraId="7769E24E" w14:textId="77777777" w:rsidTr="00E52272">
        <w:tc>
          <w:tcPr>
            <w:tcW w:w="1204" w:type="dxa"/>
          </w:tcPr>
          <w:p w14:paraId="447D2E86" w14:textId="77777777" w:rsidR="001617B2" w:rsidRPr="00C57832" w:rsidRDefault="001617B2" w:rsidP="001617B2">
            <w:pPr>
              <w:spacing w:before="60" w:after="60" w:line="240" w:lineRule="auto"/>
              <w:rPr>
                <w:rFonts w:eastAsia="Times New Roman"/>
                <w:sz w:val="20"/>
                <w:szCs w:val="20"/>
                <w:lang w:val="fr-BE" w:eastAsia="nl-NL"/>
              </w:rPr>
            </w:pPr>
            <w:r w:rsidRPr="00C57832">
              <w:rPr>
                <w:rFonts w:eastAsia="Times New Roman"/>
                <w:sz w:val="20"/>
                <w:szCs w:val="20"/>
                <w:lang w:val="fr-BE" w:eastAsia="nl-NL"/>
              </w:rPr>
              <w:t xml:space="preserve">Fait : </w:t>
            </w:r>
          </w:p>
        </w:tc>
        <w:tc>
          <w:tcPr>
            <w:tcW w:w="3828" w:type="dxa"/>
            <w:tcBorders>
              <w:top w:val="single" w:sz="6" w:space="0" w:color="auto"/>
              <w:left w:val="single" w:sz="6" w:space="0" w:color="auto"/>
              <w:bottom w:val="single" w:sz="6" w:space="0" w:color="auto"/>
            </w:tcBorders>
          </w:tcPr>
          <w:p w14:paraId="116EA785" w14:textId="77777777" w:rsidR="001617B2" w:rsidRPr="00C57832" w:rsidRDefault="001617B2" w:rsidP="001617B2">
            <w:pPr>
              <w:spacing w:before="60" w:after="60" w:line="240" w:lineRule="auto"/>
              <w:rPr>
                <w:rFonts w:eastAsia="Times New Roman"/>
                <w:sz w:val="20"/>
                <w:szCs w:val="20"/>
                <w:lang w:val="fr-BE" w:eastAsia="nl-NL"/>
              </w:rPr>
            </w:pPr>
            <w:r w:rsidRPr="00C57832">
              <w:rPr>
                <w:rFonts w:eastAsia="Times New Roman"/>
                <w:sz w:val="20"/>
                <w:szCs w:val="20"/>
                <w:lang w:val="fr-BE" w:eastAsia="nl-NL"/>
              </w:rPr>
              <w:t>A</w:t>
            </w:r>
          </w:p>
        </w:tc>
        <w:tc>
          <w:tcPr>
            <w:tcW w:w="160" w:type="dxa"/>
            <w:tcBorders>
              <w:left w:val="single" w:sz="6" w:space="0" w:color="auto"/>
              <w:right w:val="single" w:sz="6" w:space="0" w:color="auto"/>
            </w:tcBorders>
          </w:tcPr>
          <w:p w14:paraId="5D1D4ED0" w14:textId="77777777" w:rsidR="001617B2" w:rsidRPr="00C57832" w:rsidRDefault="001617B2" w:rsidP="001617B2">
            <w:pPr>
              <w:spacing w:before="60" w:after="60" w:line="240" w:lineRule="auto"/>
              <w:rPr>
                <w:rFonts w:eastAsia="Times New Roman"/>
                <w:sz w:val="20"/>
                <w:szCs w:val="20"/>
                <w:lang w:val="fr-BE" w:eastAsia="nl-NL"/>
              </w:rPr>
            </w:pPr>
          </w:p>
        </w:tc>
        <w:tc>
          <w:tcPr>
            <w:tcW w:w="4092" w:type="dxa"/>
            <w:tcBorders>
              <w:top w:val="single" w:sz="6" w:space="0" w:color="auto"/>
              <w:left w:val="single" w:sz="6" w:space="0" w:color="auto"/>
              <w:bottom w:val="single" w:sz="6" w:space="0" w:color="auto"/>
              <w:right w:val="single" w:sz="6" w:space="0" w:color="auto"/>
            </w:tcBorders>
          </w:tcPr>
          <w:p w14:paraId="486575ED" w14:textId="77777777" w:rsidR="001617B2" w:rsidRPr="00C57832" w:rsidRDefault="001617B2" w:rsidP="001617B2">
            <w:pPr>
              <w:spacing w:before="60" w:after="60" w:line="240" w:lineRule="auto"/>
              <w:rPr>
                <w:rFonts w:eastAsia="Times New Roman"/>
                <w:sz w:val="20"/>
                <w:szCs w:val="20"/>
                <w:lang w:val="fr-BE" w:eastAsia="nl-NL"/>
              </w:rPr>
            </w:pPr>
            <w:r w:rsidRPr="00C57832">
              <w:rPr>
                <w:rFonts w:eastAsia="Times New Roman"/>
                <w:sz w:val="20"/>
                <w:szCs w:val="20"/>
                <w:lang w:val="fr-BE" w:eastAsia="nl-NL"/>
              </w:rPr>
              <w:t>Le                                                   201.</w:t>
            </w:r>
          </w:p>
        </w:tc>
      </w:tr>
    </w:tbl>
    <w:p w14:paraId="341BC90A" w14:textId="77777777" w:rsidR="001617B2" w:rsidRPr="00C57832" w:rsidRDefault="001617B2" w:rsidP="001617B2">
      <w:pPr>
        <w:spacing w:after="0" w:line="240" w:lineRule="auto"/>
        <w:ind w:right="-1"/>
        <w:rPr>
          <w:rFonts w:eastAsia="Times New Roman"/>
          <w:sz w:val="20"/>
          <w:szCs w:val="20"/>
          <w:lang w:val="fr-BE" w:eastAsia="nl-NL"/>
        </w:rPr>
      </w:pPr>
    </w:p>
    <w:p w14:paraId="28FC6478" w14:textId="77777777" w:rsidR="001617B2" w:rsidRPr="00C57832" w:rsidRDefault="001617B2" w:rsidP="001617B2">
      <w:pPr>
        <w:spacing w:after="0" w:line="240" w:lineRule="auto"/>
        <w:ind w:right="-1"/>
        <w:rPr>
          <w:rFonts w:eastAsia="Times New Roman"/>
          <w:sz w:val="20"/>
          <w:szCs w:val="20"/>
          <w:lang w:val="fr-BE" w:eastAsia="nl-NL"/>
        </w:rPr>
      </w:pPr>
      <w:r w:rsidRPr="00C57832">
        <w:rPr>
          <w:rFonts w:eastAsia="Times New Roman"/>
          <w:sz w:val="20"/>
          <w:szCs w:val="20"/>
          <w:lang w:val="fr-BE" w:eastAsia="nl-NL"/>
        </w:rPr>
        <w:t>Le soumissionnaire ou le fondé de pouvoirs :</w:t>
      </w:r>
    </w:p>
    <w:p w14:paraId="75A70F48" w14:textId="77777777" w:rsidR="001617B2" w:rsidRPr="00C57832" w:rsidRDefault="001617B2" w:rsidP="001617B2">
      <w:pPr>
        <w:spacing w:after="0" w:line="240" w:lineRule="auto"/>
        <w:ind w:right="-1"/>
        <w:rPr>
          <w:rFonts w:eastAsia="Times New Roman"/>
          <w:sz w:val="20"/>
          <w:szCs w:val="20"/>
          <w:lang w:val="fr-BE" w:eastAsia="nl-NL"/>
        </w:rPr>
      </w:pPr>
    </w:p>
    <w:tbl>
      <w:tblPr>
        <w:tblW w:w="0" w:type="auto"/>
        <w:tblInd w:w="1205" w:type="dxa"/>
        <w:tblLayout w:type="fixed"/>
        <w:tblCellMar>
          <w:left w:w="71" w:type="dxa"/>
          <w:right w:w="71" w:type="dxa"/>
        </w:tblCellMar>
        <w:tblLook w:val="0000" w:firstRow="0" w:lastRow="0" w:firstColumn="0" w:lastColumn="0" w:noHBand="0" w:noVBand="0"/>
      </w:tblPr>
      <w:tblGrid>
        <w:gridCol w:w="8080"/>
      </w:tblGrid>
      <w:tr w:rsidR="001617B2" w:rsidRPr="00C57832" w14:paraId="21D9996F" w14:textId="77777777" w:rsidTr="00E52272">
        <w:trPr>
          <w:trHeight w:val="1367"/>
        </w:trPr>
        <w:tc>
          <w:tcPr>
            <w:tcW w:w="8080" w:type="dxa"/>
            <w:tcBorders>
              <w:top w:val="single" w:sz="6" w:space="0" w:color="auto"/>
              <w:left w:val="single" w:sz="6" w:space="0" w:color="auto"/>
              <w:bottom w:val="single" w:sz="6" w:space="0" w:color="auto"/>
              <w:right w:val="single" w:sz="6" w:space="0" w:color="auto"/>
            </w:tcBorders>
          </w:tcPr>
          <w:p w14:paraId="25022622" w14:textId="77777777" w:rsidR="001617B2" w:rsidRPr="00C57832" w:rsidRDefault="001617B2" w:rsidP="001617B2">
            <w:pPr>
              <w:spacing w:before="60" w:after="60" w:line="240" w:lineRule="auto"/>
              <w:jc w:val="right"/>
              <w:rPr>
                <w:rFonts w:eastAsia="Times New Roman"/>
                <w:sz w:val="20"/>
                <w:szCs w:val="20"/>
                <w:lang w:val="fr-BE" w:eastAsia="nl-NL"/>
              </w:rPr>
            </w:pPr>
            <w:r w:rsidRPr="00C57832">
              <w:rPr>
                <w:rFonts w:eastAsia="Times New Roman"/>
                <w:sz w:val="20"/>
                <w:szCs w:val="20"/>
                <w:lang w:val="fr-BE" w:eastAsia="nl-NL"/>
              </w:rPr>
              <w:t>(</w:t>
            </w:r>
            <w:proofErr w:type="gramStart"/>
            <w:r w:rsidRPr="00C57832">
              <w:rPr>
                <w:rFonts w:eastAsia="Times New Roman"/>
                <w:sz w:val="20"/>
                <w:szCs w:val="20"/>
                <w:lang w:val="fr-BE" w:eastAsia="nl-NL"/>
              </w:rPr>
              <w:t>nom</w:t>
            </w:r>
            <w:proofErr w:type="gramEnd"/>
            <w:r w:rsidRPr="00C57832">
              <w:rPr>
                <w:rFonts w:eastAsia="Times New Roman"/>
                <w:sz w:val="20"/>
                <w:szCs w:val="20"/>
                <w:lang w:val="fr-BE" w:eastAsia="nl-NL"/>
              </w:rPr>
              <w:t>)</w:t>
            </w:r>
          </w:p>
          <w:p w14:paraId="5E7DAC42" w14:textId="77777777" w:rsidR="001617B2" w:rsidRPr="00C57832" w:rsidRDefault="001617B2" w:rsidP="001617B2">
            <w:pPr>
              <w:spacing w:before="60" w:after="60" w:line="240" w:lineRule="auto"/>
              <w:jc w:val="right"/>
              <w:rPr>
                <w:rFonts w:eastAsia="Times New Roman"/>
                <w:sz w:val="20"/>
                <w:szCs w:val="20"/>
                <w:lang w:val="fr-BE" w:eastAsia="nl-NL"/>
              </w:rPr>
            </w:pPr>
            <w:r w:rsidRPr="00C57832">
              <w:rPr>
                <w:rFonts w:eastAsia="Times New Roman"/>
                <w:sz w:val="20"/>
                <w:szCs w:val="20"/>
                <w:lang w:val="fr-BE" w:eastAsia="nl-NL"/>
              </w:rPr>
              <w:t>(</w:t>
            </w:r>
            <w:proofErr w:type="gramStart"/>
            <w:r w:rsidRPr="00C57832">
              <w:rPr>
                <w:rFonts w:eastAsia="Times New Roman"/>
                <w:sz w:val="20"/>
                <w:szCs w:val="20"/>
                <w:lang w:val="fr-BE" w:eastAsia="nl-NL"/>
              </w:rPr>
              <w:t>fonction</w:t>
            </w:r>
            <w:proofErr w:type="gramEnd"/>
            <w:r w:rsidRPr="00C57832">
              <w:rPr>
                <w:rFonts w:eastAsia="Times New Roman"/>
                <w:sz w:val="20"/>
                <w:szCs w:val="20"/>
                <w:lang w:val="fr-BE" w:eastAsia="nl-NL"/>
              </w:rPr>
              <w:t>)</w:t>
            </w:r>
          </w:p>
          <w:p w14:paraId="16464BE0" w14:textId="77777777" w:rsidR="001617B2" w:rsidRPr="00C57832" w:rsidRDefault="001617B2" w:rsidP="001617B2">
            <w:pPr>
              <w:spacing w:before="60" w:after="60" w:line="240" w:lineRule="auto"/>
              <w:jc w:val="right"/>
              <w:rPr>
                <w:rFonts w:eastAsia="Times New Roman"/>
                <w:sz w:val="20"/>
                <w:szCs w:val="20"/>
                <w:lang w:val="fr-BE" w:eastAsia="nl-NL"/>
              </w:rPr>
            </w:pPr>
            <w:r w:rsidRPr="00C57832">
              <w:rPr>
                <w:rFonts w:eastAsia="Times New Roman"/>
                <w:sz w:val="20"/>
                <w:szCs w:val="20"/>
                <w:lang w:val="fr-BE" w:eastAsia="nl-NL"/>
              </w:rPr>
              <w:t>(signature)</w:t>
            </w:r>
          </w:p>
        </w:tc>
      </w:tr>
    </w:tbl>
    <w:p w14:paraId="33DFEE9F" w14:textId="77777777" w:rsidR="001617B2" w:rsidRPr="00C57832" w:rsidRDefault="001617B2" w:rsidP="001617B2">
      <w:pPr>
        <w:spacing w:after="0" w:line="240" w:lineRule="auto"/>
        <w:rPr>
          <w:rFonts w:eastAsia="Times New Roman"/>
          <w:sz w:val="20"/>
          <w:szCs w:val="20"/>
          <w:lang w:val="fr-BE" w:eastAsia="nl-NL"/>
        </w:rPr>
      </w:pPr>
    </w:p>
    <w:p w14:paraId="30D2258D" w14:textId="77777777" w:rsidR="001617B2" w:rsidRPr="00C57832" w:rsidRDefault="001617B2" w:rsidP="001617B2">
      <w:pPr>
        <w:spacing w:after="0" w:line="240" w:lineRule="auto"/>
        <w:rPr>
          <w:rFonts w:eastAsia="Times New Roman"/>
          <w:sz w:val="20"/>
          <w:szCs w:val="20"/>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617B2" w:rsidRPr="007174D8" w14:paraId="7C30C583" w14:textId="77777777" w:rsidTr="00E52272">
        <w:tc>
          <w:tcPr>
            <w:tcW w:w="9284" w:type="dxa"/>
          </w:tcPr>
          <w:p w14:paraId="08F75942" w14:textId="77777777" w:rsidR="001617B2" w:rsidRPr="00C57832" w:rsidRDefault="001617B2" w:rsidP="001617B2">
            <w:pPr>
              <w:spacing w:after="0" w:line="240" w:lineRule="auto"/>
              <w:jc w:val="center"/>
              <w:rPr>
                <w:rFonts w:eastAsia="Times New Roman"/>
                <w:sz w:val="20"/>
                <w:szCs w:val="20"/>
                <w:lang w:val="fr-BE" w:eastAsia="nl-NL"/>
              </w:rPr>
            </w:pPr>
          </w:p>
          <w:p w14:paraId="1427F3F3" w14:textId="77777777" w:rsidR="001617B2" w:rsidRPr="00C57832" w:rsidRDefault="001617B2" w:rsidP="001617B2">
            <w:pPr>
              <w:spacing w:after="0" w:line="240" w:lineRule="auto"/>
              <w:jc w:val="center"/>
              <w:rPr>
                <w:rFonts w:eastAsia="Times New Roman"/>
                <w:sz w:val="20"/>
                <w:szCs w:val="20"/>
                <w:lang w:val="fr-BE" w:eastAsia="nl-NL"/>
              </w:rPr>
            </w:pPr>
            <w:r w:rsidRPr="00C57832">
              <w:rPr>
                <w:rFonts w:eastAsia="Times New Roman"/>
                <w:sz w:val="20"/>
                <w:szCs w:val="20"/>
                <w:lang w:val="fr-BE" w:eastAsia="nl-NL"/>
              </w:rPr>
              <w:t>APPROUVÉ,</w:t>
            </w:r>
          </w:p>
          <w:p w14:paraId="5BC662E1" w14:textId="77777777" w:rsidR="001617B2" w:rsidRPr="00C57832" w:rsidRDefault="001617B2" w:rsidP="001617B2">
            <w:pPr>
              <w:spacing w:after="0" w:line="240" w:lineRule="auto"/>
              <w:jc w:val="center"/>
              <w:rPr>
                <w:rFonts w:eastAsia="Times New Roman"/>
                <w:sz w:val="20"/>
                <w:szCs w:val="20"/>
                <w:lang w:val="fr-BE" w:eastAsia="nl-NL"/>
              </w:rPr>
            </w:pPr>
          </w:p>
          <w:p w14:paraId="64CC3504" w14:textId="77777777" w:rsidR="001617B2" w:rsidRPr="00C57832" w:rsidRDefault="001617B2" w:rsidP="001617B2">
            <w:pPr>
              <w:spacing w:after="0" w:line="240" w:lineRule="auto"/>
              <w:jc w:val="center"/>
              <w:rPr>
                <w:rFonts w:eastAsia="Times New Roman"/>
                <w:sz w:val="20"/>
                <w:szCs w:val="20"/>
                <w:lang w:val="fr-BE" w:eastAsia="nl-NL"/>
              </w:rPr>
            </w:pPr>
            <w:r w:rsidRPr="00C57832">
              <w:rPr>
                <w:rFonts w:eastAsia="Times New Roman"/>
                <w:sz w:val="20"/>
                <w:szCs w:val="20"/>
                <w:lang w:val="fr-BE" w:eastAsia="nl-NL"/>
              </w:rPr>
              <w:fldChar w:fldCharType="begin">
                <w:ffData>
                  <w:name w:val="Tekstvak10"/>
                  <w:enabled/>
                  <w:calcOnExit w:val="0"/>
                  <w:textInput>
                    <w:default w:val="&lt;code postal, + lieu&gt;"/>
                  </w:textInput>
                </w:ffData>
              </w:fldChar>
            </w:r>
            <w:r w:rsidRPr="00C57832">
              <w:rPr>
                <w:rFonts w:eastAsia="Times New Roman"/>
                <w:sz w:val="20"/>
                <w:szCs w:val="20"/>
                <w:lang w:val="fr-BE" w:eastAsia="nl-NL"/>
              </w:rPr>
              <w:instrText xml:space="preserve"> FORMTEXT </w:instrText>
            </w:r>
            <w:r w:rsidRPr="00C57832">
              <w:rPr>
                <w:rFonts w:eastAsia="Times New Roman"/>
                <w:sz w:val="20"/>
                <w:szCs w:val="20"/>
                <w:lang w:val="fr-BE" w:eastAsia="nl-NL"/>
              </w:rPr>
            </w:r>
            <w:r w:rsidRPr="00C57832">
              <w:rPr>
                <w:rFonts w:eastAsia="Times New Roman"/>
                <w:sz w:val="20"/>
                <w:szCs w:val="20"/>
                <w:lang w:val="fr-BE" w:eastAsia="nl-NL"/>
              </w:rPr>
              <w:fldChar w:fldCharType="separate"/>
            </w:r>
            <w:r w:rsidRPr="00C57832">
              <w:rPr>
                <w:rFonts w:eastAsia="Times New Roman"/>
                <w:sz w:val="20"/>
                <w:szCs w:val="20"/>
                <w:lang w:val="fr-BE" w:eastAsia="nl-NL"/>
              </w:rPr>
              <w:t>&lt;code postal, + lieu&gt;</w:t>
            </w:r>
            <w:r w:rsidRPr="00C57832">
              <w:rPr>
                <w:rFonts w:eastAsia="Times New Roman"/>
                <w:sz w:val="20"/>
                <w:szCs w:val="20"/>
                <w:lang w:val="fr-BE" w:eastAsia="nl-NL"/>
              </w:rPr>
              <w:fldChar w:fldCharType="end"/>
            </w:r>
            <w:r w:rsidRPr="00C57832">
              <w:rPr>
                <w:rFonts w:eastAsia="Times New Roman"/>
                <w:sz w:val="20"/>
                <w:szCs w:val="20"/>
                <w:lang w:val="fr-BE" w:eastAsia="nl-NL"/>
              </w:rPr>
              <w:t>,</w:t>
            </w:r>
            <w:r w:rsidRPr="00C57832">
              <w:rPr>
                <w:rFonts w:eastAsia="Times New Roman"/>
                <w:sz w:val="20"/>
                <w:szCs w:val="20"/>
                <w:lang w:val="fr-BE" w:eastAsia="nl-NL"/>
              </w:rPr>
              <w:tab/>
            </w:r>
            <w:r w:rsidRPr="00C57832">
              <w:rPr>
                <w:rFonts w:eastAsia="Times New Roman"/>
                <w:sz w:val="20"/>
                <w:szCs w:val="20"/>
                <w:lang w:val="fr-BE" w:eastAsia="nl-NL"/>
              </w:rPr>
              <w:tab/>
            </w:r>
            <w:r w:rsidRPr="00C57832">
              <w:rPr>
                <w:rFonts w:eastAsia="Times New Roman"/>
                <w:sz w:val="20"/>
                <w:szCs w:val="20"/>
                <w:lang w:val="fr-BE" w:eastAsia="nl-NL"/>
              </w:rPr>
              <w:tab/>
            </w:r>
          </w:p>
          <w:p w14:paraId="091ACE25" w14:textId="77777777" w:rsidR="001617B2" w:rsidRPr="00C57832" w:rsidRDefault="001617B2" w:rsidP="001617B2">
            <w:pPr>
              <w:spacing w:after="0" w:line="240" w:lineRule="auto"/>
              <w:jc w:val="center"/>
              <w:rPr>
                <w:rFonts w:eastAsia="Times New Roman"/>
                <w:sz w:val="20"/>
                <w:szCs w:val="20"/>
                <w:lang w:val="fr-BE" w:eastAsia="nl-NL"/>
              </w:rPr>
            </w:pPr>
          </w:p>
          <w:p w14:paraId="6463264C" w14:textId="77777777" w:rsidR="001617B2" w:rsidRPr="00C57832" w:rsidRDefault="001617B2" w:rsidP="001617B2">
            <w:pPr>
              <w:spacing w:after="0" w:line="240" w:lineRule="auto"/>
              <w:jc w:val="center"/>
              <w:rPr>
                <w:rFonts w:eastAsia="Times New Roman"/>
                <w:sz w:val="20"/>
                <w:szCs w:val="20"/>
                <w:lang w:val="fr-BE" w:eastAsia="nl-NL"/>
              </w:rPr>
            </w:pPr>
          </w:p>
          <w:p w14:paraId="4AC12F0A" w14:textId="77777777" w:rsidR="001617B2" w:rsidRPr="00C57832" w:rsidRDefault="001617B2" w:rsidP="001617B2">
            <w:pPr>
              <w:spacing w:after="0" w:line="240" w:lineRule="auto"/>
              <w:jc w:val="center"/>
              <w:rPr>
                <w:rFonts w:eastAsia="Times New Roman"/>
                <w:sz w:val="20"/>
                <w:szCs w:val="20"/>
                <w:lang w:val="fr-BE" w:eastAsia="nl-NL"/>
              </w:rPr>
            </w:pPr>
          </w:p>
          <w:p w14:paraId="70366F04" w14:textId="77777777" w:rsidR="001617B2" w:rsidRPr="00C57832" w:rsidRDefault="001617B2" w:rsidP="001617B2">
            <w:pPr>
              <w:spacing w:after="0" w:line="240" w:lineRule="auto"/>
              <w:jc w:val="center"/>
              <w:rPr>
                <w:rFonts w:eastAsia="Times New Roman"/>
                <w:sz w:val="20"/>
                <w:szCs w:val="20"/>
                <w:lang w:val="fr-BE" w:eastAsia="nl-NL"/>
              </w:rPr>
            </w:pPr>
          </w:p>
          <w:p w14:paraId="734DEB3B" w14:textId="77777777" w:rsidR="001617B2" w:rsidRPr="00C57832" w:rsidRDefault="001617B2" w:rsidP="001617B2">
            <w:pPr>
              <w:spacing w:after="0" w:line="240" w:lineRule="auto"/>
              <w:jc w:val="center"/>
              <w:rPr>
                <w:rFonts w:eastAsia="Times New Roman"/>
                <w:sz w:val="20"/>
                <w:szCs w:val="20"/>
                <w:lang w:val="fr-BE" w:eastAsia="nl-NL"/>
              </w:rPr>
            </w:pPr>
          </w:p>
          <w:p w14:paraId="0F461D2A" w14:textId="77777777" w:rsidR="001617B2" w:rsidRPr="00C57832" w:rsidRDefault="001617B2" w:rsidP="001617B2">
            <w:pPr>
              <w:spacing w:after="0" w:line="240" w:lineRule="auto"/>
              <w:jc w:val="center"/>
              <w:rPr>
                <w:rFonts w:eastAsia="Times New Roman"/>
                <w:sz w:val="20"/>
                <w:szCs w:val="20"/>
                <w:lang w:val="fr-BE" w:eastAsia="nl-NL"/>
              </w:rPr>
            </w:pPr>
            <w:r w:rsidRPr="00C57832">
              <w:rPr>
                <w:rFonts w:eastAsia="Times New Roman"/>
                <w:sz w:val="20"/>
                <w:szCs w:val="20"/>
                <w:lang w:val="fr-BE" w:eastAsia="nl-NL"/>
              </w:rPr>
              <w:fldChar w:fldCharType="begin">
                <w:ffData>
                  <w:name w:val="Tekstvak11"/>
                  <w:enabled/>
                  <w:calcOnExit w:val="0"/>
                  <w:textInput>
                    <w:default w:val="&lt;identité de la personne compétente pour approuver l’offre&gt;"/>
                  </w:textInput>
                </w:ffData>
              </w:fldChar>
            </w:r>
            <w:r w:rsidRPr="00C57832">
              <w:rPr>
                <w:rFonts w:eastAsia="Times New Roman"/>
                <w:sz w:val="20"/>
                <w:szCs w:val="20"/>
                <w:lang w:val="fr-BE" w:eastAsia="nl-NL"/>
              </w:rPr>
              <w:instrText xml:space="preserve"> FORMTEXT </w:instrText>
            </w:r>
            <w:r w:rsidRPr="00C57832">
              <w:rPr>
                <w:rFonts w:eastAsia="Times New Roman"/>
                <w:sz w:val="20"/>
                <w:szCs w:val="20"/>
                <w:lang w:val="fr-BE" w:eastAsia="nl-NL"/>
              </w:rPr>
            </w:r>
            <w:r w:rsidRPr="00C57832">
              <w:rPr>
                <w:rFonts w:eastAsia="Times New Roman"/>
                <w:sz w:val="20"/>
                <w:szCs w:val="20"/>
                <w:lang w:val="fr-BE" w:eastAsia="nl-NL"/>
              </w:rPr>
              <w:fldChar w:fldCharType="separate"/>
            </w:r>
            <w:r w:rsidRPr="00C57832">
              <w:rPr>
                <w:rFonts w:eastAsia="Times New Roman"/>
                <w:sz w:val="20"/>
                <w:szCs w:val="20"/>
                <w:lang w:val="fr-BE" w:eastAsia="nl-NL"/>
              </w:rPr>
              <w:t>&lt;identité de la personne compétente pour approuver l’offre&gt;</w:t>
            </w:r>
            <w:r w:rsidRPr="00C57832">
              <w:rPr>
                <w:rFonts w:eastAsia="Times New Roman"/>
                <w:sz w:val="20"/>
                <w:szCs w:val="20"/>
                <w:lang w:val="fr-BE" w:eastAsia="nl-NL"/>
              </w:rPr>
              <w:fldChar w:fldCharType="end"/>
            </w:r>
            <w:r w:rsidRPr="00C57832">
              <w:rPr>
                <w:rFonts w:eastAsia="Times New Roman"/>
                <w:sz w:val="20"/>
                <w:szCs w:val="20"/>
                <w:lang w:val="fr-BE" w:eastAsia="nl-NL"/>
              </w:rPr>
              <w:t xml:space="preserve"> </w:t>
            </w:r>
          </w:p>
          <w:p w14:paraId="0FD988F0" w14:textId="77777777" w:rsidR="001617B2" w:rsidRPr="00C57832" w:rsidRDefault="001617B2" w:rsidP="001617B2">
            <w:pPr>
              <w:spacing w:after="0" w:line="240" w:lineRule="auto"/>
              <w:jc w:val="center"/>
              <w:rPr>
                <w:rFonts w:eastAsia="Times New Roman"/>
                <w:sz w:val="20"/>
                <w:szCs w:val="20"/>
                <w:lang w:val="fr-BE" w:eastAsia="nl-NL"/>
              </w:rPr>
            </w:pPr>
          </w:p>
          <w:p w14:paraId="276706E7" w14:textId="77777777" w:rsidR="001617B2" w:rsidRPr="00C57832" w:rsidRDefault="001617B2" w:rsidP="001617B2">
            <w:pPr>
              <w:spacing w:after="0" w:line="240" w:lineRule="auto"/>
              <w:jc w:val="center"/>
              <w:rPr>
                <w:rFonts w:eastAsia="Times New Roman"/>
                <w:sz w:val="20"/>
                <w:szCs w:val="20"/>
                <w:lang w:val="fr-BE" w:eastAsia="nl-NL"/>
              </w:rPr>
            </w:pPr>
            <w:r w:rsidRPr="00C57832">
              <w:rPr>
                <w:rFonts w:eastAsia="Times New Roman"/>
                <w:sz w:val="20"/>
                <w:szCs w:val="20"/>
                <w:lang w:val="fr-BE" w:eastAsia="nl-NL"/>
              </w:rPr>
              <w:fldChar w:fldCharType="begin">
                <w:ffData>
                  <w:name w:val="Tekstvak12"/>
                  <w:enabled/>
                  <w:calcOnExit w:val="0"/>
                  <w:textInput>
                    <w:default w:val="&lt;titre de la personne compétente pour approuver l’offre&gt;"/>
                  </w:textInput>
                </w:ffData>
              </w:fldChar>
            </w:r>
            <w:r w:rsidRPr="00C57832">
              <w:rPr>
                <w:rFonts w:eastAsia="Times New Roman"/>
                <w:sz w:val="20"/>
                <w:szCs w:val="20"/>
                <w:lang w:val="fr-BE" w:eastAsia="nl-NL"/>
              </w:rPr>
              <w:instrText xml:space="preserve"> FORMTEXT </w:instrText>
            </w:r>
            <w:r w:rsidRPr="00C57832">
              <w:rPr>
                <w:rFonts w:eastAsia="Times New Roman"/>
                <w:sz w:val="20"/>
                <w:szCs w:val="20"/>
                <w:lang w:val="fr-BE" w:eastAsia="nl-NL"/>
              </w:rPr>
            </w:r>
            <w:r w:rsidRPr="00C57832">
              <w:rPr>
                <w:rFonts w:eastAsia="Times New Roman"/>
                <w:sz w:val="20"/>
                <w:szCs w:val="20"/>
                <w:lang w:val="fr-BE" w:eastAsia="nl-NL"/>
              </w:rPr>
              <w:fldChar w:fldCharType="separate"/>
            </w:r>
            <w:r w:rsidRPr="00C57832">
              <w:rPr>
                <w:rFonts w:eastAsia="Times New Roman"/>
                <w:sz w:val="20"/>
                <w:szCs w:val="20"/>
                <w:lang w:val="fr-BE" w:eastAsia="nl-NL"/>
              </w:rPr>
              <w:t>&lt;titre de la personne compétente pour approuver l’offre&gt;</w:t>
            </w:r>
            <w:r w:rsidRPr="00C57832">
              <w:rPr>
                <w:rFonts w:eastAsia="Times New Roman"/>
                <w:sz w:val="20"/>
                <w:szCs w:val="20"/>
                <w:lang w:val="fr-BE" w:eastAsia="nl-NL"/>
              </w:rPr>
              <w:fldChar w:fldCharType="end"/>
            </w:r>
            <w:r w:rsidRPr="00C57832">
              <w:rPr>
                <w:rFonts w:eastAsia="Times New Roman"/>
                <w:sz w:val="20"/>
                <w:szCs w:val="20"/>
                <w:lang w:val="fr-BE" w:eastAsia="nl-NL"/>
              </w:rPr>
              <w:t xml:space="preserve"> </w:t>
            </w:r>
          </w:p>
          <w:p w14:paraId="368089BC" w14:textId="77777777" w:rsidR="001617B2" w:rsidRPr="00C57832" w:rsidRDefault="001617B2" w:rsidP="001617B2">
            <w:pPr>
              <w:spacing w:after="0" w:line="240" w:lineRule="auto"/>
              <w:rPr>
                <w:rFonts w:eastAsia="Times New Roman"/>
                <w:sz w:val="20"/>
                <w:szCs w:val="20"/>
                <w:lang w:val="fr-BE" w:eastAsia="nl-NL"/>
              </w:rPr>
            </w:pPr>
          </w:p>
        </w:tc>
      </w:tr>
    </w:tbl>
    <w:p w14:paraId="76163915" w14:textId="77777777" w:rsidR="001617B2" w:rsidRPr="00C57832" w:rsidRDefault="001617B2" w:rsidP="001617B2">
      <w:pPr>
        <w:spacing w:after="0" w:line="240" w:lineRule="auto"/>
        <w:rPr>
          <w:rFonts w:eastAsia="Times New Roman"/>
          <w:snapToGrid w:val="0"/>
          <w:sz w:val="2"/>
          <w:szCs w:val="20"/>
          <w:lang w:val="fr-BE" w:eastAsia="fr-FR"/>
        </w:rPr>
      </w:pPr>
    </w:p>
    <w:p w14:paraId="4D98DCA1" w14:textId="77777777" w:rsidR="001617B2" w:rsidRPr="00C57832" w:rsidRDefault="001617B2" w:rsidP="001617B2">
      <w:pPr>
        <w:spacing w:after="0" w:line="240" w:lineRule="auto"/>
        <w:rPr>
          <w:rFonts w:eastAsia="Times New Roman"/>
          <w:sz w:val="20"/>
          <w:szCs w:val="20"/>
          <w:lang w:val="fr-BE" w:eastAsia="nl-NL"/>
        </w:rPr>
      </w:pPr>
    </w:p>
    <w:p w14:paraId="7C54EC05" w14:textId="77777777" w:rsidR="001617B2" w:rsidRPr="00C57832" w:rsidRDefault="001617B2" w:rsidP="001617B2">
      <w:pPr>
        <w:spacing w:after="0" w:line="240" w:lineRule="auto"/>
        <w:rPr>
          <w:rFonts w:eastAsia="Times New Roman"/>
          <w:sz w:val="20"/>
          <w:szCs w:val="20"/>
          <w:lang w:val="fr-BE" w:eastAsia="nl-NL"/>
        </w:rPr>
      </w:pPr>
    </w:p>
    <w:p w14:paraId="60EF6C5B" w14:textId="77777777" w:rsidR="001617B2" w:rsidRPr="00C57832" w:rsidRDefault="001617B2" w:rsidP="001617B2">
      <w:pPr>
        <w:spacing w:after="0" w:line="240" w:lineRule="auto"/>
        <w:rPr>
          <w:rFonts w:eastAsia="Times New Roman"/>
          <w:sz w:val="20"/>
          <w:szCs w:val="20"/>
          <w:lang w:val="fr-BE"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617B2" w:rsidRPr="007174D8" w14:paraId="32B83859" w14:textId="77777777" w:rsidTr="00E52272">
        <w:tc>
          <w:tcPr>
            <w:tcW w:w="9211" w:type="dxa"/>
            <w:shd w:val="pct5" w:color="auto" w:fill="FFFFFF"/>
          </w:tcPr>
          <w:p w14:paraId="5C1CD8AA" w14:textId="77777777" w:rsidR="001617B2" w:rsidRPr="00E03B09" w:rsidRDefault="001617B2" w:rsidP="001617B2">
            <w:pPr>
              <w:spacing w:after="0" w:line="240" w:lineRule="auto"/>
              <w:jc w:val="both"/>
              <w:rPr>
                <w:rFonts w:eastAsia="Times New Roman"/>
                <w:snapToGrid w:val="0"/>
                <w:sz w:val="20"/>
                <w:szCs w:val="20"/>
                <w:lang w:val="fr-BE" w:eastAsia="fr-FR"/>
              </w:rPr>
            </w:pPr>
            <w:r w:rsidRPr="00E03B09">
              <w:rPr>
                <w:rFonts w:eastAsia="Times New Roman"/>
                <w:snapToGrid w:val="0"/>
                <w:sz w:val="20"/>
                <w:szCs w:val="20"/>
                <w:lang w:val="fr-BE" w:eastAsia="fr-FR"/>
              </w:rPr>
              <w:t>POUR MÉMOIRE : DOCUMENTS À JOINDRE OBLIGATOIREMENT À L’OFFRE :</w:t>
            </w:r>
          </w:p>
          <w:p w14:paraId="59B0EA64" w14:textId="77777777" w:rsidR="001617B2" w:rsidRPr="00C57832" w:rsidRDefault="001617B2" w:rsidP="001617B2">
            <w:pPr>
              <w:spacing w:after="0" w:line="240" w:lineRule="auto"/>
              <w:rPr>
                <w:rFonts w:eastAsia="Times New Roman"/>
                <w:sz w:val="20"/>
                <w:szCs w:val="20"/>
                <w:lang w:val="fr-BE" w:eastAsia="nl-NL"/>
              </w:rPr>
            </w:pPr>
          </w:p>
          <w:p w14:paraId="731CE919" w14:textId="7AFFF4AE" w:rsidR="001617B2" w:rsidRPr="00C57832" w:rsidRDefault="001617B2" w:rsidP="00BB166A">
            <w:pPr>
              <w:numPr>
                <w:ilvl w:val="0"/>
                <w:numId w:val="25"/>
              </w:numPr>
              <w:spacing w:after="0" w:line="240" w:lineRule="auto"/>
              <w:ind w:left="426"/>
              <w:rPr>
                <w:rFonts w:eastAsia="Times New Roman"/>
                <w:sz w:val="20"/>
                <w:szCs w:val="20"/>
                <w:lang w:val="fr-BE" w:eastAsia="nl-NL"/>
              </w:rPr>
            </w:pPr>
            <w:r w:rsidRPr="00C57832">
              <w:rPr>
                <w:rFonts w:eastAsia="Times New Roman"/>
                <w:sz w:val="20"/>
                <w:szCs w:val="20"/>
                <w:lang w:val="fr-BE" w:eastAsia="nl-NL"/>
              </w:rPr>
              <w:t xml:space="preserve">Tous les documents et renseignements demandés dans le cadre des </w:t>
            </w:r>
            <w:r w:rsidR="00252680" w:rsidRPr="00C57832">
              <w:rPr>
                <w:rFonts w:eastAsia="Times New Roman"/>
                <w:sz w:val="20"/>
                <w:szCs w:val="20"/>
                <w:lang w:val="fr-BE" w:eastAsia="nl-NL"/>
              </w:rPr>
              <w:t>critères d’exclusion</w:t>
            </w:r>
            <w:r w:rsidRPr="00C57832">
              <w:rPr>
                <w:rFonts w:eastAsia="Times New Roman"/>
                <w:sz w:val="20"/>
                <w:szCs w:val="20"/>
                <w:lang w:val="fr-BE" w:eastAsia="nl-NL"/>
              </w:rPr>
              <w:t>, de sélection et des critères d’attribution ;</w:t>
            </w:r>
          </w:p>
          <w:p w14:paraId="37275E11" w14:textId="77777777" w:rsidR="001617B2" w:rsidRPr="00C57832" w:rsidRDefault="001617B2" w:rsidP="00BB166A">
            <w:pPr>
              <w:numPr>
                <w:ilvl w:val="0"/>
                <w:numId w:val="25"/>
              </w:numPr>
              <w:spacing w:after="0" w:line="240" w:lineRule="auto"/>
              <w:ind w:left="426"/>
              <w:rPr>
                <w:rFonts w:eastAsia="Times New Roman"/>
                <w:sz w:val="20"/>
                <w:szCs w:val="20"/>
                <w:lang w:val="fr-BE" w:eastAsia="nl-NL"/>
              </w:rPr>
            </w:pPr>
            <w:r w:rsidRPr="00C57832">
              <w:rPr>
                <w:rFonts w:eastAsia="Times New Roman"/>
                <w:sz w:val="20"/>
                <w:szCs w:val="20"/>
                <w:lang w:val="fr-BE" w:eastAsia="nl-NL"/>
              </w:rPr>
              <w:fldChar w:fldCharType="begin">
                <w:ffData>
                  <w:name w:val="Tekstvak13"/>
                  <w:enabled/>
                  <w:calcOnExit w:val="0"/>
                  <w:textInput>
                    <w:default w:val="&lt;toutes les autres pièces que le soumissionnaire doit joindre à son offre&gt;"/>
                  </w:textInput>
                </w:ffData>
              </w:fldChar>
            </w:r>
            <w:r w:rsidRPr="00C57832">
              <w:rPr>
                <w:rFonts w:eastAsia="Times New Roman"/>
                <w:sz w:val="20"/>
                <w:szCs w:val="20"/>
                <w:lang w:val="fr-BE" w:eastAsia="nl-NL"/>
              </w:rPr>
              <w:instrText xml:space="preserve"> FORMTEXT </w:instrText>
            </w:r>
            <w:r w:rsidRPr="00C57832">
              <w:rPr>
                <w:rFonts w:eastAsia="Times New Roman"/>
                <w:sz w:val="20"/>
                <w:szCs w:val="20"/>
                <w:lang w:val="fr-BE" w:eastAsia="nl-NL"/>
              </w:rPr>
            </w:r>
            <w:r w:rsidRPr="00C57832">
              <w:rPr>
                <w:rFonts w:eastAsia="Times New Roman"/>
                <w:sz w:val="20"/>
                <w:szCs w:val="20"/>
                <w:lang w:val="fr-BE" w:eastAsia="nl-NL"/>
              </w:rPr>
              <w:fldChar w:fldCharType="separate"/>
            </w:r>
            <w:r w:rsidRPr="00C57832">
              <w:rPr>
                <w:rFonts w:eastAsia="Times New Roman"/>
                <w:sz w:val="20"/>
                <w:szCs w:val="20"/>
                <w:lang w:val="fr-BE" w:eastAsia="nl-NL"/>
              </w:rPr>
              <w:t>&lt;toutes les autres pièces que le soumissionnaire doit joindre à son offre&gt;</w:t>
            </w:r>
            <w:r w:rsidRPr="00C57832">
              <w:rPr>
                <w:rFonts w:eastAsia="Times New Roman"/>
                <w:sz w:val="20"/>
                <w:szCs w:val="20"/>
                <w:lang w:val="fr-BE" w:eastAsia="nl-NL"/>
              </w:rPr>
              <w:fldChar w:fldCharType="end"/>
            </w:r>
            <w:r w:rsidRPr="00C57832">
              <w:rPr>
                <w:rFonts w:eastAsia="Times New Roman"/>
                <w:sz w:val="20"/>
                <w:szCs w:val="20"/>
                <w:lang w:val="fr-BE" w:eastAsia="nl-NL"/>
              </w:rPr>
              <w:t>.</w:t>
            </w:r>
          </w:p>
          <w:p w14:paraId="7C5080EC" w14:textId="77777777" w:rsidR="001617B2" w:rsidRPr="00C57832" w:rsidRDefault="001617B2" w:rsidP="001617B2">
            <w:pPr>
              <w:spacing w:after="0" w:line="240" w:lineRule="auto"/>
              <w:ind w:left="705" w:hanging="705"/>
              <w:rPr>
                <w:rFonts w:eastAsia="Times New Roman"/>
                <w:i/>
                <w:sz w:val="20"/>
                <w:szCs w:val="20"/>
                <w:lang w:val="fr-BE" w:eastAsia="nl-NL"/>
              </w:rPr>
            </w:pPr>
          </w:p>
          <w:p w14:paraId="376EDA44" w14:textId="77777777" w:rsidR="001617B2" w:rsidRPr="00C57832" w:rsidRDefault="001617B2" w:rsidP="001617B2">
            <w:pPr>
              <w:spacing w:after="0" w:line="240" w:lineRule="auto"/>
              <w:ind w:left="705"/>
              <w:jc w:val="both"/>
              <w:rPr>
                <w:rFonts w:eastAsia="Times New Roman"/>
                <w:sz w:val="20"/>
                <w:szCs w:val="20"/>
                <w:lang w:val="fr-BE" w:eastAsia="nl-NL"/>
              </w:rPr>
            </w:pPr>
          </w:p>
        </w:tc>
      </w:tr>
    </w:tbl>
    <w:p w14:paraId="60567969" w14:textId="77777777" w:rsidR="001617B2" w:rsidRPr="00C57832" w:rsidRDefault="001617B2" w:rsidP="001617B2">
      <w:pPr>
        <w:spacing w:after="0" w:line="240" w:lineRule="auto"/>
        <w:ind w:right="-1"/>
        <w:rPr>
          <w:rFonts w:eastAsia="Times New Roman"/>
          <w:color w:val="00B050"/>
          <w:sz w:val="20"/>
          <w:szCs w:val="20"/>
          <w:lang w:val="fr-BE" w:eastAsia="nl-NL"/>
        </w:rPr>
      </w:pPr>
    </w:p>
    <w:p w14:paraId="707C8B21" w14:textId="585E1C15" w:rsidR="001617B2" w:rsidRPr="00C57832" w:rsidRDefault="001617B2" w:rsidP="001617B2">
      <w:pPr>
        <w:spacing w:after="0" w:line="240" w:lineRule="auto"/>
        <w:ind w:right="-1"/>
        <w:rPr>
          <w:rFonts w:eastAsia="Times New Roman"/>
          <w:color w:val="00B050"/>
          <w:sz w:val="20"/>
          <w:szCs w:val="20"/>
          <w:lang w:val="fr-BE" w:eastAsia="nl-NL"/>
        </w:rPr>
      </w:pPr>
    </w:p>
    <w:p w14:paraId="2D6848C4" w14:textId="77777777" w:rsidR="005B5B98" w:rsidRPr="00C57832" w:rsidRDefault="005B5B98" w:rsidP="001617B2">
      <w:pPr>
        <w:spacing w:after="0" w:line="240" w:lineRule="auto"/>
        <w:ind w:right="-1"/>
        <w:rPr>
          <w:rFonts w:eastAsia="Times New Roman"/>
          <w:color w:val="00B050"/>
          <w:sz w:val="20"/>
          <w:szCs w:val="20"/>
          <w:lang w:val="fr-BE" w:eastAsia="nl-NL"/>
        </w:rPr>
      </w:pPr>
    </w:p>
    <w:p w14:paraId="5CACB613" w14:textId="77777777" w:rsidR="001E432F" w:rsidRPr="00C57832" w:rsidRDefault="001E432F" w:rsidP="00FF67A6">
      <w:pPr>
        <w:pStyle w:val="Titre2"/>
        <w:rPr>
          <w:lang w:val="fr-BE"/>
        </w:rPr>
        <w:sectPr w:rsidR="001E432F" w:rsidRPr="00C57832" w:rsidSect="001E432F">
          <w:pgSz w:w="11906" w:h="16838" w:code="9"/>
          <w:pgMar w:top="1418" w:right="1418" w:bottom="1418" w:left="1418" w:header="709" w:footer="709" w:gutter="0"/>
          <w:cols w:space="708"/>
          <w:docGrid w:linePitch="360"/>
        </w:sectPr>
      </w:pPr>
      <w:bookmarkStart w:id="199" w:name="_Toc200945539"/>
      <w:bookmarkStart w:id="200" w:name="_Toc201025170"/>
      <w:bookmarkStart w:id="201" w:name="_Toc201587477"/>
      <w:bookmarkStart w:id="202" w:name="_Toc513197784"/>
    </w:p>
    <w:p w14:paraId="397C7F77" w14:textId="3A72AEE7" w:rsidR="006B4934" w:rsidRPr="00C57832" w:rsidRDefault="006B4934" w:rsidP="00FF67A6">
      <w:pPr>
        <w:pStyle w:val="Titre2"/>
        <w:rPr>
          <w:lang w:val="fr-BE"/>
        </w:rPr>
      </w:pPr>
      <w:r w:rsidRPr="00C57832">
        <w:rPr>
          <w:lang w:val="fr-BE"/>
        </w:rPr>
        <w:lastRenderedPageBreak/>
        <w:t xml:space="preserve">Annexe </w:t>
      </w:r>
      <w:proofErr w:type="gramStart"/>
      <w:r w:rsidRPr="00C57832">
        <w:rPr>
          <w:lang w:val="fr-BE"/>
        </w:rPr>
        <w:t>B:</w:t>
      </w:r>
      <w:proofErr w:type="gramEnd"/>
      <w:r w:rsidRPr="00C57832">
        <w:rPr>
          <w:lang w:val="fr-BE"/>
        </w:rPr>
        <w:t xml:space="preserve"> Inventaire</w:t>
      </w:r>
      <w:bookmarkEnd w:id="199"/>
      <w:bookmarkEnd w:id="200"/>
      <w:bookmarkEnd w:id="201"/>
      <w:bookmarkEnd w:id="202"/>
    </w:p>
    <w:p w14:paraId="397C7F78" w14:textId="77777777" w:rsidR="006B4934" w:rsidRPr="00C57832" w:rsidRDefault="006B4934">
      <w:pPr>
        <w:rPr>
          <w:lang w:val="fr-BE"/>
        </w:rPr>
      </w:pPr>
    </w:p>
    <w:p w14:paraId="397C7F79" w14:textId="77777777" w:rsidR="006B4934" w:rsidRPr="00C57832" w:rsidRDefault="006B4934">
      <w:pPr>
        <w:pBdr>
          <w:bottom w:val="single" w:sz="4" w:space="1" w:color="auto"/>
        </w:pBdr>
        <w:jc w:val="center"/>
        <w:rPr>
          <w:lang w:val="fr-BE"/>
        </w:rPr>
      </w:pPr>
      <w:r w:rsidRPr="00C57832">
        <w:rPr>
          <w:lang w:val="fr-BE"/>
        </w:rPr>
        <w:t xml:space="preserve">Pouvoir adjudicateur: </w:t>
      </w:r>
      <w:r w:rsidR="00306B75" w:rsidRPr="00C57832">
        <w:rPr>
          <w:szCs w:val="18"/>
          <w:lang w:val="fr-BE"/>
        </w:rPr>
        <w:fldChar w:fldCharType="begin">
          <w:ffData>
            <w:name w:val=""/>
            <w:enabled/>
            <w:calcOnExit w:val="0"/>
            <w:textInput>
              <w:default w:val="&lt;Dénomination du pouvoir adjudicateur&gt;"/>
            </w:textInput>
          </w:ffData>
        </w:fldChar>
      </w:r>
      <w:r w:rsidR="006F32FF"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006F32FF" w:rsidRPr="00C57832">
        <w:rPr>
          <w:szCs w:val="18"/>
          <w:lang w:val="fr-BE"/>
        </w:rPr>
        <w:t>&lt;Dénomination du pouvoir adjudicateur&gt;</w:t>
      </w:r>
      <w:r w:rsidR="00306B75" w:rsidRPr="00C57832">
        <w:rPr>
          <w:szCs w:val="18"/>
          <w:lang w:val="fr-BE"/>
        </w:rPr>
        <w:fldChar w:fldCharType="end"/>
      </w:r>
    </w:p>
    <w:p w14:paraId="397C7F7A" w14:textId="77777777" w:rsidR="006B4934" w:rsidRPr="00C57832" w:rsidRDefault="006B4934">
      <w:pPr>
        <w:pBdr>
          <w:bottom w:val="single" w:sz="4" w:space="1" w:color="auto"/>
        </w:pBdr>
        <w:jc w:val="center"/>
        <w:rPr>
          <w:lang w:val="fr-BE"/>
        </w:rPr>
      </w:pPr>
      <w:r w:rsidRPr="00C57832">
        <w:rPr>
          <w:lang w:val="fr-BE"/>
        </w:rPr>
        <w:t xml:space="preserve">Cahier des charges n°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le numéro du cahier des charges&gt;</w:t>
      </w:r>
      <w:r w:rsidR="00306B75" w:rsidRPr="00C57832">
        <w:rPr>
          <w:szCs w:val="18"/>
          <w:lang w:val="fr-BE"/>
        </w:rPr>
        <w:fldChar w:fldCharType="end"/>
      </w:r>
      <w:r w:rsidRPr="00C57832">
        <w:rPr>
          <w:lang w:val="fr-BE"/>
        </w:rPr>
        <w:t xml:space="preserve"> d’appel d’offres pour la collecte des PMC d’origine ménagère sur le territoire de </w:t>
      </w:r>
      <w:r w:rsidR="00306B75" w:rsidRPr="00C57832">
        <w:rPr>
          <w:szCs w:val="18"/>
          <w:lang w:val="fr-BE"/>
        </w:rPr>
        <w:fldChar w:fldCharType="begin">
          <w:ffData>
            <w:name w:val=""/>
            <w:enabled/>
            <w:calcOnExit w:val="0"/>
            <w:textInput>
              <w:default w:val="&lt;Dénomination du pouvoir adjudicateur&gt;"/>
            </w:textInput>
          </w:ffData>
        </w:fldChar>
      </w:r>
      <w:r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Pr="00C57832">
        <w:rPr>
          <w:szCs w:val="18"/>
          <w:lang w:val="fr-BE"/>
        </w:rPr>
        <w:t>&lt;indiquer le nom de l'intercommunale</w:t>
      </w:r>
      <w:r w:rsidR="00306B75" w:rsidRPr="00C57832">
        <w:rPr>
          <w:szCs w:val="18"/>
          <w:lang w:val="fr-BE"/>
        </w:rPr>
        <w:fldChar w:fldCharType="end"/>
      </w:r>
      <w:r w:rsidRPr="00C57832">
        <w:rPr>
          <w:lang w:val="fr-BE"/>
        </w:rPr>
        <w:t>&gt;</w:t>
      </w:r>
    </w:p>
    <w:p w14:paraId="397C7F7B" w14:textId="77777777" w:rsidR="006B4934" w:rsidRPr="00C57832" w:rsidRDefault="006B4934">
      <w:pPr>
        <w:rPr>
          <w:lang w:val="fr-BE"/>
        </w:rPr>
      </w:pPr>
      <w:proofErr w:type="gramStart"/>
      <w:r w:rsidRPr="00C57832">
        <w:rPr>
          <w:lang w:val="fr-BE"/>
        </w:rPr>
        <w:t>Remarques:</w:t>
      </w:r>
      <w:proofErr w:type="gramEnd"/>
      <w:r w:rsidRPr="00C57832">
        <w:rPr>
          <w:lang w:val="fr-BE"/>
        </w:rPr>
        <w:t xml:space="preserve"> </w:t>
      </w:r>
    </w:p>
    <w:p w14:paraId="397C7F7C" w14:textId="77777777" w:rsidR="006B4934" w:rsidRPr="00C57832" w:rsidRDefault="006B4934" w:rsidP="00BB166A">
      <w:pPr>
        <w:pStyle w:val="Listepuces"/>
        <w:numPr>
          <w:ilvl w:val="0"/>
          <w:numId w:val="10"/>
        </w:numPr>
        <w:rPr>
          <w:lang w:val="fr-BE"/>
        </w:rPr>
      </w:pPr>
      <w:r w:rsidRPr="00C57832">
        <w:rPr>
          <w:lang w:val="fr-BE"/>
        </w:rPr>
        <w:t>Tous les prix indiqués s'entendent hors TVA.</w:t>
      </w:r>
    </w:p>
    <w:p w14:paraId="397C7F7D" w14:textId="77777777" w:rsidR="006B4934" w:rsidRPr="00C57832" w:rsidRDefault="006B4934" w:rsidP="00BB166A">
      <w:pPr>
        <w:pStyle w:val="Listepuces"/>
        <w:numPr>
          <w:ilvl w:val="0"/>
          <w:numId w:val="10"/>
        </w:numPr>
        <w:rPr>
          <w:lang w:val="fr-BE"/>
        </w:rPr>
      </w:pPr>
      <w:r w:rsidRPr="00C57832">
        <w:rPr>
          <w:lang w:val="fr-BE"/>
        </w:rPr>
        <w:t xml:space="preserve">Valable uniquement si </w:t>
      </w:r>
      <w:r w:rsidR="0043211A" w:rsidRPr="00C57832">
        <w:rPr>
          <w:lang w:val="fr-BE"/>
        </w:rPr>
        <w:t xml:space="preserve">dûment </w:t>
      </w:r>
      <w:r w:rsidRPr="00C57832">
        <w:rPr>
          <w:lang w:val="fr-BE"/>
        </w:rPr>
        <w:t>complété entièrement et signé</w:t>
      </w:r>
    </w:p>
    <w:p w14:paraId="397C7F7E" w14:textId="7D08AE31" w:rsidR="003A04D1" w:rsidRPr="00C57832" w:rsidRDefault="003A04D1">
      <w:pPr>
        <w:spacing w:after="0" w:line="240" w:lineRule="auto"/>
        <w:rPr>
          <w:lang w:val="fr-BE"/>
        </w:rPr>
      </w:pPr>
      <w:r w:rsidRPr="00C57832">
        <w:rPr>
          <w:lang w:val="fr-BE"/>
        </w:rPr>
        <w:br w:type="page"/>
      </w:r>
    </w:p>
    <w:p w14:paraId="397C7F7F" w14:textId="7CF57BAD" w:rsidR="006B4934" w:rsidRPr="00C57832" w:rsidRDefault="006B4934">
      <w:pPr>
        <w:pBdr>
          <w:top w:val="single" w:sz="4" w:space="1" w:color="auto"/>
          <w:left w:val="single" w:sz="4" w:space="4" w:color="auto"/>
          <w:bottom w:val="single" w:sz="4" w:space="1" w:color="auto"/>
          <w:right w:val="single" w:sz="4" w:space="4" w:color="auto"/>
        </w:pBdr>
        <w:jc w:val="both"/>
        <w:rPr>
          <w:rFonts w:eastAsia="Times New Roman"/>
          <w:b/>
          <w:color w:val="000000"/>
          <w:szCs w:val="18"/>
          <w:lang w:val="fr-BE" w:eastAsia="nl-NL"/>
        </w:rPr>
      </w:pPr>
      <w:r w:rsidRPr="00C57832">
        <w:rPr>
          <w:rFonts w:eastAsia="Times New Roman"/>
          <w:b/>
          <w:color w:val="000000"/>
          <w:szCs w:val="18"/>
          <w:lang w:val="fr-BE" w:eastAsia="nl-NL"/>
        </w:rPr>
        <w:lastRenderedPageBreak/>
        <w:t xml:space="preserve">Lot </w:t>
      </w:r>
      <w:proofErr w:type="gramStart"/>
      <w:r w:rsidRPr="00C57832">
        <w:rPr>
          <w:rFonts w:eastAsia="Times New Roman"/>
          <w:b/>
          <w:color w:val="000000"/>
          <w:szCs w:val="18"/>
          <w:lang w:val="fr-BE" w:eastAsia="nl-NL"/>
        </w:rPr>
        <w:t>1:</w:t>
      </w:r>
      <w:proofErr w:type="gramEnd"/>
      <w:r w:rsidRPr="00C57832">
        <w:rPr>
          <w:rFonts w:eastAsia="Times New Roman"/>
          <w:b/>
          <w:color w:val="000000"/>
          <w:szCs w:val="18"/>
          <w:lang w:val="fr-BE" w:eastAsia="nl-NL"/>
        </w:rPr>
        <w:t xml:space="preserve"> Collecte du PMC en porte-à-porte</w:t>
      </w:r>
    </w:p>
    <w:p w14:paraId="4894D0C3" w14:textId="77777777" w:rsidR="00362ED8" w:rsidRPr="00C57832" w:rsidRDefault="00362ED8" w:rsidP="00362ED8">
      <w:pPr>
        <w:tabs>
          <w:tab w:val="left" w:pos="1440"/>
        </w:tabs>
        <w:rPr>
          <w:color w:val="000000"/>
          <w:szCs w:val="18"/>
          <w:lang w:val="fr-BE"/>
        </w:rPr>
      </w:pPr>
    </w:p>
    <w:tbl>
      <w:tblPr>
        <w:tblW w:w="14176" w:type="dxa"/>
        <w:tblLayout w:type="fixed"/>
        <w:tblCellMar>
          <w:left w:w="120" w:type="dxa"/>
          <w:right w:w="120" w:type="dxa"/>
        </w:tblCellMar>
        <w:tblLook w:val="0000" w:firstRow="0" w:lastRow="0" w:firstColumn="0" w:lastColumn="0" w:noHBand="0" w:noVBand="0"/>
      </w:tblPr>
      <w:tblGrid>
        <w:gridCol w:w="1229"/>
        <w:gridCol w:w="1432"/>
        <w:gridCol w:w="1261"/>
        <w:gridCol w:w="1134"/>
        <w:gridCol w:w="1418"/>
        <w:gridCol w:w="1637"/>
        <w:gridCol w:w="1340"/>
        <w:gridCol w:w="1417"/>
        <w:gridCol w:w="1276"/>
        <w:gridCol w:w="2032"/>
      </w:tblGrid>
      <w:tr w:rsidR="00362ED8" w:rsidRPr="00C57832" w14:paraId="6E8C473C" w14:textId="77777777" w:rsidTr="00764106">
        <w:trPr>
          <w:cantSplit/>
          <w:trHeight w:val="178"/>
        </w:trPr>
        <w:tc>
          <w:tcPr>
            <w:tcW w:w="392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101991C0" w14:textId="171C0840" w:rsidR="00362ED8" w:rsidRPr="00C57832" w:rsidRDefault="00362ED8"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Prix sur base du nombre d’habitants</w:t>
            </w:r>
            <w:r w:rsidR="00655514" w:rsidRPr="00C57832">
              <w:rPr>
                <w:rFonts w:eastAsia="Times New Roman"/>
                <w:color w:val="000000"/>
                <w:sz w:val="16"/>
                <w:szCs w:val="16"/>
                <w:lang w:val="fr-BE" w:eastAsia="nl-NL"/>
              </w:rPr>
              <w:t xml:space="preserve"> pour la collecte et le transport vers </w:t>
            </w:r>
            <w:r w:rsidR="00FC2706" w:rsidRPr="00C57832">
              <w:rPr>
                <w:rFonts w:eastAsia="Times New Roman"/>
                <w:color w:val="000000"/>
                <w:sz w:val="16"/>
                <w:szCs w:val="16"/>
                <w:lang w:val="fr-BE" w:eastAsia="nl-NL"/>
              </w:rPr>
              <w:fldChar w:fldCharType="begin">
                <w:ffData>
                  <w:name w:val=""/>
                  <w:enabled/>
                  <w:calcOnExit w:val="0"/>
                  <w:textInput>
                    <w:default w:val="&lt;indiquer le nom et l'adresse du centre de tri ou de la station de transfert&gt;"/>
                  </w:textInput>
                </w:ffData>
              </w:fldChar>
            </w:r>
            <w:r w:rsidR="00FC2706" w:rsidRPr="00C57832">
              <w:rPr>
                <w:rFonts w:eastAsia="Times New Roman"/>
                <w:color w:val="000000"/>
                <w:sz w:val="16"/>
                <w:szCs w:val="16"/>
                <w:lang w:val="fr-BE" w:eastAsia="nl-NL"/>
              </w:rPr>
              <w:instrText xml:space="preserve"> FORMTEXT </w:instrText>
            </w:r>
            <w:r w:rsidR="00FC2706" w:rsidRPr="00C57832">
              <w:rPr>
                <w:rFonts w:eastAsia="Times New Roman"/>
                <w:color w:val="000000"/>
                <w:sz w:val="16"/>
                <w:szCs w:val="16"/>
                <w:lang w:val="fr-BE" w:eastAsia="nl-NL"/>
              </w:rPr>
            </w:r>
            <w:r w:rsidR="00FC2706" w:rsidRPr="00C57832">
              <w:rPr>
                <w:rFonts w:eastAsia="Times New Roman"/>
                <w:color w:val="000000"/>
                <w:sz w:val="16"/>
                <w:szCs w:val="16"/>
                <w:lang w:val="fr-BE" w:eastAsia="nl-NL"/>
              </w:rPr>
              <w:fldChar w:fldCharType="separate"/>
            </w:r>
            <w:r w:rsidR="00FC2706" w:rsidRPr="00C57832">
              <w:rPr>
                <w:rFonts w:eastAsia="Times New Roman"/>
                <w:color w:val="000000"/>
                <w:sz w:val="16"/>
                <w:szCs w:val="16"/>
                <w:lang w:val="fr-BE" w:eastAsia="nl-NL"/>
              </w:rPr>
              <w:t>&lt;indiquer le nom et l'adresse du centre de tri ou de la station de transfert&gt;</w:t>
            </w:r>
            <w:r w:rsidR="00FC2706" w:rsidRPr="00C57832">
              <w:rPr>
                <w:rFonts w:eastAsia="Times New Roman"/>
                <w:color w:val="000000"/>
                <w:sz w:val="16"/>
                <w:szCs w:val="16"/>
                <w:lang w:val="fr-BE" w:eastAsia="nl-NL"/>
              </w:rPr>
              <w:fldChar w:fldCharType="end"/>
            </w:r>
          </w:p>
        </w:tc>
        <w:tc>
          <w:tcPr>
            <w:tcW w:w="4189" w:type="dxa"/>
            <w:gridSpan w:val="3"/>
            <w:tcBorders>
              <w:top w:val="single" w:sz="6" w:space="0" w:color="000000"/>
              <w:left w:val="single" w:sz="6" w:space="0" w:color="000000"/>
              <w:bottom w:val="single" w:sz="6" w:space="0" w:color="000000"/>
              <w:right w:val="single" w:sz="8" w:space="0" w:color="000000"/>
            </w:tcBorders>
            <w:shd w:val="clear" w:color="auto" w:fill="D9D9D9"/>
            <w:vAlign w:val="center"/>
          </w:tcPr>
          <w:p w14:paraId="3FF91C1C" w14:textId="1AC6FC97" w:rsidR="00362ED8" w:rsidRPr="00C57832" w:rsidRDefault="00655514"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 xml:space="preserve">Prix sur base du nombre d’habitants pour la collecte et le transport vers </w:t>
            </w:r>
            <w:r w:rsidR="00FC2706" w:rsidRPr="00C57832">
              <w:rPr>
                <w:rFonts w:eastAsia="Times New Roman"/>
                <w:color w:val="000000"/>
                <w:sz w:val="16"/>
                <w:szCs w:val="16"/>
                <w:lang w:val="fr-BE" w:eastAsia="nl-NL"/>
              </w:rPr>
              <w:fldChar w:fldCharType="begin">
                <w:ffData>
                  <w:name w:val=""/>
                  <w:enabled/>
                  <w:calcOnExit w:val="0"/>
                  <w:textInput>
                    <w:default w:val="&lt;indiquer le nom et l'adresse du centre de tri ou de la station de transfert&gt;"/>
                  </w:textInput>
                </w:ffData>
              </w:fldChar>
            </w:r>
            <w:r w:rsidR="00FC2706" w:rsidRPr="00C57832">
              <w:rPr>
                <w:rFonts w:eastAsia="Times New Roman"/>
                <w:color w:val="000000"/>
                <w:sz w:val="16"/>
                <w:szCs w:val="16"/>
                <w:lang w:val="fr-BE" w:eastAsia="nl-NL"/>
              </w:rPr>
              <w:instrText xml:space="preserve"> FORMTEXT </w:instrText>
            </w:r>
            <w:r w:rsidR="00FC2706" w:rsidRPr="00C57832">
              <w:rPr>
                <w:rFonts w:eastAsia="Times New Roman"/>
                <w:color w:val="000000"/>
                <w:sz w:val="16"/>
                <w:szCs w:val="16"/>
                <w:lang w:val="fr-BE" w:eastAsia="nl-NL"/>
              </w:rPr>
            </w:r>
            <w:r w:rsidR="00FC2706" w:rsidRPr="00C57832">
              <w:rPr>
                <w:rFonts w:eastAsia="Times New Roman"/>
                <w:color w:val="000000"/>
                <w:sz w:val="16"/>
                <w:szCs w:val="16"/>
                <w:lang w:val="fr-BE" w:eastAsia="nl-NL"/>
              </w:rPr>
              <w:fldChar w:fldCharType="separate"/>
            </w:r>
            <w:r w:rsidR="00FC2706" w:rsidRPr="00C57832">
              <w:rPr>
                <w:rFonts w:eastAsia="Times New Roman"/>
                <w:color w:val="000000"/>
                <w:sz w:val="16"/>
                <w:szCs w:val="16"/>
                <w:lang w:val="fr-BE" w:eastAsia="nl-NL"/>
              </w:rPr>
              <w:t>&lt;indiquer le nom et l'adresse du centre de tri ou de la station de transfert&gt;</w:t>
            </w:r>
            <w:r w:rsidR="00FC2706" w:rsidRPr="00C57832">
              <w:rPr>
                <w:rFonts w:eastAsia="Times New Roman"/>
                <w:color w:val="000000"/>
                <w:sz w:val="16"/>
                <w:szCs w:val="16"/>
                <w:lang w:val="fr-BE" w:eastAsia="nl-NL"/>
              </w:rPr>
              <w:fldChar w:fldCharType="end"/>
            </w:r>
          </w:p>
        </w:tc>
        <w:tc>
          <w:tcPr>
            <w:tcW w:w="4033"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52B84233" w14:textId="0CBD3B07" w:rsidR="00362ED8" w:rsidRPr="00C57832" w:rsidRDefault="00362ED8" w:rsidP="00655514">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 xml:space="preserve">Prix sur base du tonnage collecté et </w:t>
            </w:r>
            <w:r w:rsidR="00655514" w:rsidRPr="00C57832">
              <w:rPr>
                <w:rFonts w:eastAsia="Times New Roman"/>
                <w:color w:val="000000"/>
                <w:sz w:val="16"/>
                <w:szCs w:val="16"/>
                <w:lang w:val="fr-BE" w:eastAsia="nl-NL"/>
              </w:rPr>
              <w:t xml:space="preserve">de </w:t>
            </w:r>
            <w:r w:rsidRPr="00C57832">
              <w:rPr>
                <w:rFonts w:eastAsia="Times New Roman"/>
                <w:color w:val="000000"/>
                <w:sz w:val="16"/>
                <w:szCs w:val="16"/>
                <w:lang w:val="fr-BE" w:eastAsia="nl-NL"/>
              </w:rPr>
              <w:t xml:space="preserve">la distance la plus courte par la route (km) </w:t>
            </w:r>
            <w:r w:rsidR="00655514" w:rsidRPr="00C57832">
              <w:rPr>
                <w:rFonts w:eastAsia="Times New Roman"/>
                <w:color w:val="000000"/>
                <w:sz w:val="16"/>
                <w:szCs w:val="16"/>
                <w:lang w:val="fr-BE" w:eastAsia="nl-NL"/>
              </w:rPr>
              <w:t>entre</w:t>
            </w:r>
            <w:r w:rsidRPr="00C57832">
              <w:rPr>
                <w:rFonts w:eastAsia="Times New Roman"/>
                <w:color w:val="000000"/>
                <w:sz w:val="16"/>
                <w:szCs w:val="16"/>
                <w:lang w:val="fr-BE" w:eastAsia="nl-NL"/>
              </w:rPr>
              <w:t xml:space="preserve"> </w:t>
            </w:r>
            <w:r w:rsidRPr="00C57832">
              <w:rPr>
                <w:rFonts w:eastAsia="Times New Roman"/>
                <w:color w:val="000000"/>
                <w:sz w:val="16"/>
                <w:szCs w:val="16"/>
                <w:lang w:val="fr-BE" w:eastAsia="nl-NL"/>
              </w:rPr>
              <w:fldChar w:fldCharType="begin">
                <w:ffData>
                  <w:name w:val=""/>
                  <w:enabled/>
                  <w:calcOnExit w:val="0"/>
                  <w:textInput>
                    <w:default w:val="&lt;remplir point de référence&gt;"/>
                  </w:textInput>
                </w:ffData>
              </w:fldChar>
            </w:r>
            <w:r w:rsidRPr="00C57832">
              <w:rPr>
                <w:rFonts w:eastAsia="Times New Roman"/>
                <w:color w:val="000000"/>
                <w:sz w:val="16"/>
                <w:szCs w:val="16"/>
                <w:lang w:val="fr-BE" w:eastAsia="nl-NL"/>
              </w:rPr>
              <w:instrText xml:space="preserve"> FORMTEXT </w:instrText>
            </w:r>
            <w:r w:rsidRPr="00C57832">
              <w:rPr>
                <w:rFonts w:eastAsia="Times New Roman"/>
                <w:color w:val="000000"/>
                <w:sz w:val="16"/>
                <w:szCs w:val="16"/>
                <w:lang w:val="fr-BE" w:eastAsia="nl-NL"/>
              </w:rPr>
            </w:r>
            <w:r w:rsidRPr="00C57832">
              <w:rPr>
                <w:rFonts w:eastAsia="Times New Roman"/>
                <w:color w:val="000000"/>
                <w:sz w:val="16"/>
                <w:szCs w:val="16"/>
                <w:lang w:val="fr-BE" w:eastAsia="nl-NL"/>
              </w:rPr>
              <w:fldChar w:fldCharType="separate"/>
            </w:r>
            <w:r w:rsidRPr="00C57832">
              <w:rPr>
                <w:rFonts w:eastAsia="Times New Roman"/>
                <w:color w:val="000000"/>
                <w:sz w:val="16"/>
                <w:szCs w:val="16"/>
                <w:lang w:val="fr-BE" w:eastAsia="nl-NL"/>
              </w:rPr>
              <w:t>&lt;remplir point de référence&gt;</w:t>
            </w:r>
            <w:r w:rsidRPr="00C57832">
              <w:rPr>
                <w:rFonts w:eastAsia="Times New Roman"/>
                <w:color w:val="000000"/>
                <w:sz w:val="16"/>
                <w:szCs w:val="16"/>
                <w:lang w:val="fr-BE" w:eastAsia="nl-NL"/>
              </w:rPr>
              <w:fldChar w:fldCharType="end"/>
            </w:r>
            <w:r w:rsidRPr="00C57832">
              <w:rPr>
                <w:rFonts w:eastAsia="Times New Roman"/>
                <w:color w:val="000000"/>
                <w:sz w:val="16"/>
                <w:szCs w:val="16"/>
                <w:lang w:val="fr-BE" w:eastAsia="nl-NL"/>
              </w:rPr>
              <w:t xml:space="preserve"> </w:t>
            </w:r>
            <w:r w:rsidR="00655514" w:rsidRPr="00C57832">
              <w:rPr>
                <w:rFonts w:eastAsia="Times New Roman"/>
                <w:color w:val="000000"/>
                <w:sz w:val="16"/>
                <w:szCs w:val="16"/>
                <w:lang w:val="fr-BE" w:eastAsia="nl-NL"/>
              </w:rPr>
              <w:t>et le</w:t>
            </w:r>
            <w:r w:rsidRPr="00C57832">
              <w:rPr>
                <w:rFonts w:eastAsia="Times New Roman"/>
                <w:color w:val="000000"/>
                <w:sz w:val="16"/>
                <w:szCs w:val="16"/>
                <w:lang w:val="fr-BE" w:eastAsia="nl-NL"/>
              </w:rPr>
              <w:t xml:space="preserve"> point de livraison </w:t>
            </w:r>
            <w:r w:rsidR="00655514" w:rsidRPr="00C57832">
              <w:rPr>
                <w:rFonts w:eastAsia="Times New Roman"/>
                <w:color w:val="000000"/>
                <w:sz w:val="16"/>
                <w:szCs w:val="16"/>
                <w:lang w:val="fr-BE" w:eastAsia="nl-NL"/>
              </w:rPr>
              <w:t xml:space="preserve">du centre de tri </w:t>
            </w:r>
            <w:r w:rsidR="00FC2706" w:rsidRPr="00C57832">
              <w:rPr>
                <w:rFonts w:eastAsia="Times New Roman"/>
                <w:color w:val="000000"/>
                <w:sz w:val="16"/>
                <w:szCs w:val="16"/>
                <w:lang w:val="fr-BE" w:eastAsia="nl-NL"/>
              </w:rPr>
              <w:t>(</w:t>
            </w:r>
            <w:r w:rsidR="00655514" w:rsidRPr="00C57832">
              <w:rPr>
                <w:rFonts w:eastAsia="Times New Roman"/>
                <w:color w:val="000000"/>
                <w:sz w:val="16"/>
                <w:szCs w:val="16"/>
                <w:lang w:val="fr-BE" w:eastAsia="nl-NL"/>
              </w:rPr>
              <w:t>ou de la station de transfert proposée par le soumissionnaire</w:t>
            </w:r>
            <w:r w:rsidR="00FC2706" w:rsidRPr="00C57832">
              <w:rPr>
                <w:rFonts w:eastAsia="Times New Roman"/>
                <w:color w:val="000000"/>
                <w:sz w:val="16"/>
                <w:szCs w:val="16"/>
                <w:lang w:val="fr-BE" w:eastAsia="nl-NL"/>
              </w:rPr>
              <w:t xml:space="preserve">) désigné par le pouvoir adjudicateur ou </w:t>
            </w:r>
            <w:proofErr w:type="spellStart"/>
            <w:r w:rsidR="00FC2706" w:rsidRPr="00C57832">
              <w:rPr>
                <w:rFonts w:eastAsia="Times New Roman"/>
                <w:color w:val="000000"/>
                <w:sz w:val="16"/>
                <w:szCs w:val="16"/>
                <w:lang w:val="fr-BE" w:eastAsia="nl-NL"/>
              </w:rPr>
              <w:t>Fost</w:t>
            </w:r>
            <w:proofErr w:type="spellEnd"/>
            <w:r w:rsidR="00FC2706" w:rsidRPr="00C57832">
              <w:rPr>
                <w:rFonts w:eastAsia="Times New Roman"/>
                <w:color w:val="000000"/>
                <w:sz w:val="16"/>
                <w:szCs w:val="16"/>
                <w:lang w:val="fr-BE" w:eastAsia="nl-NL"/>
              </w:rPr>
              <w:t xml:space="preserve"> Plus</w:t>
            </w:r>
            <w:r w:rsidRPr="00C57832">
              <w:rPr>
                <w:rFonts w:eastAsia="Times New Roman"/>
                <w:color w:val="000000"/>
                <w:sz w:val="16"/>
                <w:szCs w:val="16"/>
                <w:lang w:val="fr-BE" w:eastAsia="nl-NL"/>
              </w:rPr>
              <w:t xml:space="preserve">, calculée sur base du logiciel </w:t>
            </w:r>
            <w:proofErr w:type="spellStart"/>
            <w:r w:rsidRPr="00C57832">
              <w:rPr>
                <w:rFonts w:eastAsia="Times New Roman"/>
                <w:color w:val="000000"/>
                <w:sz w:val="16"/>
                <w:szCs w:val="16"/>
                <w:lang w:val="fr-BE" w:eastAsia="nl-NL"/>
              </w:rPr>
              <w:t>Routenet</w:t>
            </w:r>
            <w:proofErr w:type="spellEnd"/>
            <w:r w:rsidRPr="00C57832">
              <w:rPr>
                <w:rFonts w:eastAsia="Times New Roman"/>
                <w:color w:val="000000"/>
                <w:sz w:val="16"/>
                <w:szCs w:val="16"/>
                <w:lang w:val="fr-BE" w:eastAsia="nl-NL"/>
              </w:rPr>
              <w:t xml:space="preserve"> (camions 20 T)</w:t>
            </w:r>
          </w:p>
        </w:tc>
        <w:tc>
          <w:tcPr>
            <w:tcW w:w="2032" w:type="dxa"/>
            <w:tcBorders>
              <w:top w:val="single" w:sz="6" w:space="0" w:color="000000"/>
              <w:left w:val="single" w:sz="8" w:space="0" w:color="000000"/>
              <w:right w:val="single" w:sz="6" w:space="0" w:color="000000"/>
            </w:tcBorders>
            <w:shd w:val="clear" w:color="auto" w:fill="D9D9D9"/>
            <w:vAlign w:val="center"/>
          </w:tcPr>
          <w:p w14:paraId="01D08B2D" w14:textId="77777777" w:rsidR="00362ED8" w:rsidRPr="00C57832" w:rsidRDefault="00362ED8" w:rsidP="00764106">
            <w:pPr>
              <w:tabs>
                <w:tab w:val="left" w:pos="3540"/>
                <w:tab w:val="left" w:pos="4248"/>
                <w:tab w:val="left" w:pos="4956"/>
                <w:tab w:val="left" w:pos="5664"/>
                <w:tab w:val="left" w:pos="6372"/>
                <w:tab w:val="left" w:pos="7080"/>
                <w:tab w:val="left" w:pos="7788"/>
              </w:tabs>
              <w:jc w:val="center"/>
              <w:rPr>
                <w:color w:val="000000"/>
                <w:szCs w:val="18"/>
                <w:lang w:val="fr-BE"/>
              </w:rPr>
            </w:pPr>
            <w:r w:rsidRPr="00C57832">
              <w:rPr>
                <w:color w:val="000000"/>
                <w:szCs w:val="18"/>
                <w:lang w:val="fr-BE"/>
              </w:rPr>
              <w:t>Total</w:t>
            </w:r>
          </w:p>
          <w:p w14:paraId="3877FF5C" w14:textId="77777777" w:rsidR="00362ED8" w:rsidRPr="00C57832" w:rsidRDefault="00362ED8" w:rsidP="00764106">
            <w:pPr>
              <w:tabs>
                <w:tab w:val="left" w:pos="3540"/>
                <w:tab w:val="left" w:pos="4248"/>
                <w:tab w:val="left" w:pos="4956"/>
                <w:tab w:val="left" w:pos="5664"/>
                <w:tab w:val="left" w:pos="6372"/>
                <w:tab w:val="left" w:pos="7080"/>
                <w:tab w:val="left" w:pos="7788"/>
              </w:tabs>
              <w:jc w:val="center"/>
              <w:rPr>
                <w:color w:val="000000"/>
                <w:szCs w:val="18"/>
                <w:lang w:val="fr-BE"/>
              </w:rPr>
            </w:pPr>
            <w:r w:rsidRPr="00C57832">
              <w:rPr>
                <w:color w:val="000000"/>
                <w:szCs w:val="18"/>
                <w:lang w:val="fr-BE"/>
              </w:rPr>
              <w:t>(EUR/an)</w:t>
            </w:r>
          </w:p>
        </w:tc>
      </w:tr>
      <w:tr w:rsidR="00362ED8" w:rsidRPr="00C57832" w14:paraId="6A953BF3" w14:textId="77777777" w:rsidTr="00764106">
        <w:trPr>
          <w:cantSplit/>
        </w:trPr>
        <w:tc>
          <w:tcPr>
            <w:tcW w:w="12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695BF56"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Unités (habitants)</w:t>
            </w:r>
          </w:p>
          <w:p w14:paraId="09DA0782" w14:textId="77777777" w:rsidR="00362ED8" w:rsidRPr="00C57832" w:rsidRDefault="00362ED8" w:rsidP="00764106">
            <w:pPr>
              <w:spacing w:after="0" w:line="240" w:lineRule="auto"/>
              <w:jc w:val="center"/>
              <w:rPr>
                <w:rFonts w:eastAsia="Times New Roman"/>
                <w:color w:val="000000"/>
                <w:sz w:val="16"/>
                <w:szCs w:val="16"/>
                <w:lang w:val="fr-BE" w:eastAsia="nl-NL"/>
              </w:rPr>
            </w:pPr>
          </w:p>
        </w:tc>
        <w:tc>
          <w:tcPr>
            <w:tcW w:w="143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C5EC1B9"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Prix unitaire</w:t>
            </w:r>
          </w:p>
          <w:p w14:paraId="2A3A923A"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(EUR/</w:t>
            </w:r>
          </w:p>
          <w:p w14:paraId="24088181"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Habitant)</w:t>
            </w:r>
          </w:p>
        </w:tc>
        <w:tc>
          <w:tcPr>
            <w:tcW w:w="126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5D01CF"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Total</w:t>
            </w:r>
          </w:p>
          <w:p w14:paraId="0C1B5B23"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(EUR)</w:t>
            </w:r>
          </w:p>
          <w:p w14:paraId="108407CA"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2B7B18" w14:textId="77777777" w:rsidR="00362ED8" w:rsidRPr="00C57832" w:rsidRDefault="00362ED8" w:rsidP="00764106">
            <w:pPr>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Unités (tonnes)</w:t>
            </w: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31E0FBB"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Prix unitaire</w:t>
            </w:r>
          </w:p>
          <w:p w14:paraId="334E1B67"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(EUR/tonne)</w:t>
            </w:r>
          </w:p>
        </w:tc>
        <w:tc>
          <w:tcPr>
            <w:tcW w:w="1637" w:type="dxa"/>
            <w:tcBorders>
              <w:top w:val="single" w:sz="6" w:space="0" w:color="000000"/>
              <w:left w:val="single" w:sz="6" w:space="0" w:color="000000"/>
              <w:bottom w:val="single" w:sz="6" w:space="0" w:color="000000"/>
              <w:right w:val="single" w:sz="8" w:space="0" w:color="000000"/>
            </w:tcBorders>
            <w:shd w:val="clear" w:color="auto" w:fill="D9D9D9"/>
            <w:vAlign w:val="center"/>
          </w:tcPr>
          <w:p w14:paraId="567E072D" w14:textId="77777777" w:rsidR="00362ED8" w:rsidRPr="00C57832" w:rsidRDefault="00362ED8" w:rsidP="00764106">
            <w:pPr>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Total</w:t>
            </w:r>
          </w:p>
          <w:p w14:paraId="3BE62223" w14:textId="77777777" w:rsidR="00362ED8" w:rsidRPr="00C57832" w:rsidRDefault="00362ED8" w:rsidP="00764106">
            <w:pPr>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(EUR)</w:t>
            </w:r>
          </w:p>
          <w:p w14:paraId="06B87BEC" w14:textId="77777777" w:rsidR="00362ED8" w:rsidRPr="00C57832" w:rsidRDefault="00362ED8" w:rsidP="00764106">
            <w:pPr>
              <w:spacing w:after="0" w:line="240" w:lineRule="auto"/>
              <w:jc w:val="center"/>
              <w:rPr>
                <w:rFonts w:eastAsia="Times New Roman"/>
                <w:color w:val="000000"/>
                <w:sz w:val="16"/>
                <w:szCs w:val="16"/>
                <w:lang w:val="fr-BE" w:eastAsia="nl-NL"/>
              </w:rPr>
            </w:pPr>
            <w:r w:rsidRPr="00C57832">
              <w:rPr>
                <w:rFonts w:eastAsia="Times New Roman"/>
                <w:color w:val="000000"/>
                <w:sz w:val="16"/>
                <w:szCs w:val="16"/>
                <w:lang w:val="fr-BE" w:eastAsia="nl-NL"/>
              </w:rPr>
              <w:t>(2)</w:t>
            </w:r>
          </w:p>
        </w:tc>
        <w:tc>
          <w:tcPr>
            <w:tcW w:w="13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76D317"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Unités</w:t>
            </w:r>
          </w:p>
          <w:p w14:paraId="5F8D08B3"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(tonne x km*)</w:t>
            </w:r>
          </w:p>
        </w:tc>
        <w:tc>
          <w:tcPr>
            <w:tcW w:w="141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9391DF"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Prix unitaire</w:t>
            </w:r>
          </w:p>
          <w:p w14:paraId="784FDF7D"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(EUR/ton.km)</w:t>
            </w:r>
          </w:p>
        </w:tc>
        <w:tc>
          <w:tcPr>
            <w:tcW w:w="127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3DC98E"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Total</w:t>
            </w:r>
          </w:p>
          <w:p w14:paraId="7C6A0BE6"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(EUR)</w:t>
            </w:r>
          </w:p>
          <w:p w14:paraId="0B57630E"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(3)</w:t>
            </w:r>
          </w:p>
        </w:tc>
        <w:tc>
          <w:tcPr>
            <w:tcW w:w="2032" w:type="dxa"/>
            <w:tcBorders>
              <w:left w:val="single" w:sz="8" w:space="0" w:color="000000"/>
              <w:bottom w:val="single" w:sz="6" w:space="0" w:color="000000"/>
              <w:right w:val="single" w:sz="6" w:space="0" w:color="000000"/>
            </w:tcBorders>
            <w:shd w:val="clear" w:color="auto" w:fill="D9D9D9"/>
            <w:vAlign w:val="center"/>
          </w:tcPr>
          <w:p w14:paraId="327FC42A"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C57832">
              <w:rPr>
                <w:color w:val="000000"/>
                <w:szCs w:val="18"/>
                <w:lang w:val="fr-BE"/>
              </w:rPr>
              <w:t>(1+2+3)</w:t>
            </w:r>
          </w:p>
        </w:tc>
      </w:tr>
      <w:tr w:rsidR="00362ED8" w:rsidRPr="00C57832" w14:paraId="73D30E6A" w14:textId="77777777" w:rsidTr="00764106">
        <w:trPr>
          <w:trHeight w:val="850"/>
        </w:trPr>
        <w:tc>
          <w:tcPr>
            <w:tcW w:w="1229" w:type="dxa"/>
            <w:tcBorders>
              <w:top w:val="single" w:sz="6" w:space="0" w:color="000000"/>
              <w:left w:val="single" w:sz="6" w:space="0" w:color="000000"/>
              <w:bottom w:val="single" w:sz="6" w:space="0" w:color="000000"/>
              <w:right w:val="single" w:sz="6" w:space="0" w:color="000000"/>
            </w:tcBorders>
            <w:vAlign w:val="center"/>
          </w:tcPr>
          <w:p w14:paraId="7A29B80F"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color w:val="000000"/>
                <w:szCs w:val="18"/>
                <w:lang w:val="fr-BE"/>
              </w:rPr>
            </w:pPr>
            <w:r w:rsidRPr="00C57832">
              <w:rPr>
                <w:color w:val="000000"/>
                <w:szCs w:val="18"/>
                <w:lang w:val="fr-BE"/>
              </w:rPr>
              <w:t>AAA</w:t>
            </w:r>
          </w:p>
        </w:tc>
        <w:tc>
          <w:tcPr>
            <w:tcW w:w="1432" w:type="dxa"/>
            <w:tcBorders>
              <w:top w:val="single" w:sz="6" w:space="0" w:color="000000"/>
              <w:left w:val="single" w:sz="6" w:space="0" w:color="000000"/>
              <w:bottom w:val="single" w:sz="6" w:space="0" w:color="000000"/>
              <w:right w:val="single" w:sz="6" w:space="0" w:color="000000"/>
            </w:tcBorders>
            <w:vAlign w:val="center"/>
          </w:tcPr>
          <w:p w14:paraId="2D870F09"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color w:val="000000"/>
                <w:szCs w:val="18"/>
                <w:lang w:val="fr-BE"/>
              </w:rPr>
            </w:pPr>
            <w:r w:rsidRPr="00C57832">
              <w:rPr>
                <w:color w:val="000000"/>
                <w:szCs w:val="18"/>
                <w:lang w:val="fr-BE"/>
              </w:rPr>
              <w:t>…………………</w:t>
            </w:r>
          </w:p>
        </w:tc>
        <w:tc>
          <w:tcPr>
            <w:tcW w:w="1261" w:type="dxa"/>
            <w:tcBorders>
              <w:top w:val="single" w:sz="6" w:space="0" w:color="000000"/>
              <w:left w:val="single" w:sz="6" w:space="0" w:color="000000"/>
              <w:bottom w:val="single" w:sz="6" w:space="0" w:color="000000"/>
              <w:right w:val="single" w:sz="6" w:space="0" w:color="000000"/>
            </w:tcBorders>
            <w:vAlign w:val="center"/>
          </w:tcPr>
          <w:p w14:paraId="3158A237"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color w:val="000000"/>
                <w:szCs w:val="18"/>
                <w:lang w:val="fr-BE"/>
              </w:rPr>
            </w:pPr>
            <w:r w:rsidRPr="00C57832">
              <w:rPr>
                <w:color w:val="000000"/>
                <w:szCs w:val="18"/>
                <w:lang w:val="fr-BE"/>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3053D892"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color w:val="000000"/>
                <w:szCs w:val="18"/>
                <w:lang w:val="fr-BE"/>
              </w:rPr>
            </w:pPr>
            <w:r w:rsidRPr="00C57832">
              <w:rPr>
                <w:color w:val="000000"/>
                <w:szCs w:val="18"/>
                <w:lang w:val="fr-BE"/>
              </w:rPr>
              <w:t>BBB</w:t>
            </w:r>
          </w:p>
        </w:tc>
        <w:tc>
          <w:tcPr>
            <w:tcW w:w="1418" w:type="dxa"/>
            <w:tcBorders>
              <w:top w:val="single" w:sz="6" w:space="0" w:color="000000"/>
              <w:left w:val="single" w:sz="6" w:space="0" w:color="000000"/>
              <w:bottom w:val="single" w:sz="6" w:space="0" w:color="000000"/>
              <w:right w:val="single" w:sz="6" w:space="0" w:color="000000"/>
            </w:tcBorders>
            <w:vAlign w:val="center"/>
          </w:tcPr>
          <w:p w14:paraId="1BA8228C"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color w:val="000000"/>
                <w:szCs w:val="18"/>
                <w:lang w:val="fr-BE"/>
              </w:rPr>
            </w:pPr>
            <w:r w:rsidRPr="00C57832">
              <w:rPr>
                <w:color w:val="000000"/>
                <w:szCs w:val="18"/>
                <w:lang w:val="fr-BE"/>
              </w:rPr>
              <w:t>…………………</w:t>
            </w:r>
          </w:p>
        </w:tc>
        <w:tc>
          <w:tcPr>
            <w:tcW w:w="1637" w:type="dxa"/>
            <w:tcBorders>
              <w:top w:val="single" w:sz="6" w:space="0" w:color="000000"/>
              <w:left w:val="single" w:sz="6" w:space="0" w:color="000000"/>
              <w:bottom w:val="single" w:sz="6" w:space="0" w:color="000000"/>
              <w:right w:val="single" w:sz="6" w:space="0" w:color="000000"/>
            </w:tcBorders>
            <w:vAlign w:val="center"/>
          </w:tcPr>
          <w:p w14:paraId="1C420F9B"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color w:val="000000"/>
                <w:szCs w:val="18"/>
                <w:lang w:val="fr-BE"/>
              </w:rPr>
            </w:pPr>
            <w:r w:rsidRPr="00C57832">
              <w:rPr>
                <w:color w:val="000000"/>
                <w:szCs w:val="18"/>
                <w:lang w:val="fr-BE"/>
              </w:rPr>
              <w:t>…………………</w:t>
            </w:r>
          </w:p>
        </w:tc>
        <w:tc>
          <w:tcPr>
            <w:tcW w:w="1340" w:type="dxa"/>
            <w:tcBorders>
              <w:top w:val="single" w:sz="6" w:space="0" w:color="000000"/>
              <w:left w:val="single" w:sz="6" w:space="0" w:color="000000"/>
              <w:bottom w:val="single" w:sz="6" w:space="0" w:color="000000"/>
              <w:right w:val="single" w:sz="6" w:space="0" w:color="000000"/>
            </w:tcBorders>
            <w:vAlign w:val="center"/>
          </w:tcPr>
          <w:p w14:paraId="2D5D705F" w14:textId="22E4C1B5" w:rsidR="00362ED8" w:rsidRPr="00C57832" w:rsidRDefault="00362ED8" w:rsidP="008620DD">
            <w:pPr>
              <w:tabs>
                <w:tab w:val="left" w:pos="3540"/>
                <w:tab w:val="left" w:pos="4248"/>
                <w:tab w:val="left" w:pos="4956"/>
                <w:tab w:val="left" w:pos="5664"/>
                <w:tab w:val="left" w:pos="6372"/>
                <w:tab w:val="left" w:pos="7080"/>
                <w:tab w:val="left" w:pos="7788"/>
              </w:tabs>
              <w:spacing w:after="0" w:line="240" w:lineRule="auto"/>
              <w:jc w:val="center"/>
              <w:rPr>
                <w:color w:val="000000"/>
                <w:szCs w:val="18"/>
                <w:lang w:val="fr-BE"/>
              </w:rPr>
            </w:pPr>
            <w:r w:rsidRPr="00C57832">
              <w:rPr>
                <w:color w:val="000000"/>
                <w:szCs w:val="18"/>
                <w:lang w:val="fr-BE"/>
              </w:rPr>
              <w:t xml:space="preserve">BBB x </w:t>
            </w:r>
            <w:r w:rsidR="008620DD" w:rsidRPr="00C57832">
              <w:rPr>
                <w:color w:val="000000"/>
                <w:szCs w:val="18"/>
                <w:lang w:val="fr-BE"/>
              </w:rPr>
              <w:t>25</w:t>
            </w:r>
          </w:p>
        </w:tc>
        <w:tc>
          <w:tcPr>
            <w:tcW w:w="1417" w:type="dxa"/>
            <w:tcBorders>
              <w:top w:val="single" w:sz="6" w:space="0" w:color="000000"/>
              <w:left w:val="single" w:sz="6" w:space="0" w:color="000000"/>
              <w:bottom w:val="single" w:sz="6" w:space="0" w:color="000000"/>
              <w:right w:val="single" w:sz="6" w:space="0" w:color="000000"/>
            </w:tcBorders>
            <w:vAlign w:val="center"/>
          </w:tcPr>
          <w:p w14:paraId="74ACB5CA"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color w:val="000000"/>
                <w:szCs w:val="18"/>
                <w:lang w:val="fr-BE"/>
              </w:rPr>
            </w:pPr>
            <w:r w:rsidRPr="00C57832">
              <w:rPr>
                <w:color w:val="000000"/>
                <w:szCs w:val="18"/>
                <w:lang w:val="fr-BE"/>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20C6F8F3"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color w:val="000000"/>
                <w:szCs w:val="18"/>
                <w:lang w:val="fr-BE"/>
              </w:rPr>
            </w:pPr>
            <w:r w:rsidRPr="00C57832">
              <w:rPr>
                <w:color w:val="000000"/>
                <w:szCs w:val="18"/>
                <w:lang w:val="fr-BE"/>
              </w:rPr>
              <w:t>…………………</w:t>
            </w:r>
          </w:p>
        </w:tc>
        <w:tc>
          <w:tcPr>
            <w:tcW w:w="2032" w:type="dxa"/>
            <w:tcBorders>
              <w:top w:val="single" w:sz="6" w:space="0" w:color="000000"/>
              <w:left w:val="single" w:sz="6" w:space="0" w:color="000000"/>
              <w:bottom w:val="single" w:sz="6" w:space="0" w:color="000000"/>
              <w:right w:val="single" w:sz="6" w:space="0" w:color="000000"/>
            </w:tcBorders>
            <w:vAlign w:val="center"/>
          </w:tcPr>
          <w:p w14:paraId="0C4951C8" w14:textId="77777777" w:rsidR="00362ED8" w:rsidRPr="00C57832" w:rsidRDefault="00362ED8" w:rsidP="00764106">
            <w:pPr>
              <w:tabs>
                <w:tab w:val="left" w:pos="3540"/>
                <w:tab w:val="left" w:pos="4248"/>
                <w:tab w:val="left" w:pos="4956"/>
                <w:tab w:val="left" w:pos="5664"/>
                <w:tab w:val="left" w:pos="6372"/>
                <w:tab w:val="left" w:pos="7080"/>
                <w:tab w:val="left" w:pos="7788"/>
              </w:tabs>
              <w:spacing w:after="0" w:line="240" w:lineRule="auto"/>
              <w:jc w:val="center"/>
              <w:rPr>
                <w:color w:val="000000"/>
                <w:szCs w:val="18"/>
                <w:lang w:val="fr-BE"/>
              </w:rPr>
            </w:pPr>
            <w:r w:rsidRPr="00C57832">
              <w:rPr>
                <w:color w:val="000000"/>
                <w:szCs w:val="18"/>
                <w:lang w:val="fr-BE"/>
              </w:rPr>
              <w:t>…………………</w:t>
            </w:r>
          </w:p>
        </w:tc>
      </w:tr>
    </w:tbl>
    <w:p w14:paraId="02DCF185" w14:textId="5E17D0B9" w:rsidR="00362ED8" w:rsidRPr="00C57832" w:rsidRDefault="00362ED8" w:rsidP="00362ED8">
      <w:pPr>
        <w:tabs>
          <w:tab w:val="left" w:pos="3540"/>
          <w:tab w:val="left" w:pos="4248"/>
          <w:tab w:val="left" w:pos="4956"/>
          <w:tab w:val="left" w:pos="5664"/>
          <w:tab w:val="left" w:pos="6372"/>
          <w:tab w:val="left" w:pos="7080"/>
          <w:tab w:val="left" w:pos="7788"/>
        </w:tabs>
        <w:jc w:val="both"/>
        <w:rPr>
          <w:color w:val="000000"/>
          <w:szCs w:val="18"/>
          <w:lang w:val="fr-BE"/>
        </w:rPr>
      </w:pPr>
      <w:r w:rsidRPr="00C57832">
        <w:rPr>
          <w:color w:val="000000"/>
          <w:szCs w:val="18"/>
          <w:lang w:val="fr-BE"/>
        </w:rPr>
        <w:t>*</w:t>
      </w:r>
      <w:r w:rsidRPr="00C57832">
        <w:rPr>
          <w:szCs w:val="18"/>
          <w:lang w:val="fr-BE"/>
        </w:rPr>
        <w:t xml:space="preserve"> Il s’agit de la distance moyenne pondérée par la route pour la livraison du </w:t>
      </w:r>
      <w:r w:rsidR="00655514" w:rsidRPr="00C57832">
        <w:rPr>
          <w:szCs w:val="18"/>
          <w:lang w:val="fr-BE"/>
        </w:rPr>
        <w:t>PMC</w:t>
      </w:r>
      <w:r w:rsidRPr="00C57832">
        <w:rPr>
          <w:szCs w:val="18"/>
          <w:lang w:val="fr-BE"/>
        </w:rPr>
        <w:t xml:space="preserve"> au lieu de livraison pour toutes les intercommunales en Belgique en 201</w:t>
      </w:r>
      <w:r w:rsidR="00655514" w:rsidRPr="00C57832">
        <w:rPr>
          <w:szCs w:val="18"/>
          <w:lang w:val="fr-BE"/>
        </w:rPr>
        <w:t>8</w:t>
      </w:r>
      <w:r w:rsidRPr="00C57832">
        <w:rPr>
          <w:szCs w:val="18"/>
          <w:lang w:val="fr-BE"/>
        </w:rPr>
        <w:t>.</w:t>
      </w:r>
      <w:r w:rsidRPr="00C57832">
        <w:rPr>
          <w:rStyle w:val="Appelnotedebasdep"/>
          <w:szCs w:val="18"/>
          <w:lang w:val="fr-BE"/>
        </w:rPr>
        <w:footnoteReference w:id="23"/>
      </w:r>
    </w:p>
    <w:p w14:paraId="712A3C47" w14:textId="77777777" w:rsidR="00362ED8" w:rsidRPr="00C57832" w:rsidRDefault="00362ED8" w:rsidP="00362ED8">
      <w:pPr>
        <w:tabs>
          <w:tab w:val="left" w:pos="1440"/>
        </w:tabs>
        <w:rPr>
          <w:color w:val="000000"/>
          <w:szCs w:val="18"/>
          <w:lang w:val="fr-BE"/>
        </w:rPr>
      </w:pPr>
      <w:r w:rsidRPr="00C57832">
        <w:rPr>
          <w:color w:val="000000"/>
          <w:szCs w:val="18"/>
          <w:lang w:val="fr-BE"/>
        </w:rPr>
        <w:t>Le rapport entre (1) et (1+2+3) doit toujours être compris entre 50% et 70 %.</w:t>
      </w:r>
    </w:p>
    <w:p w14:paraId="397C7F9D" w14:textId="77777777" w:rsidR="006B4934" w:rsidRPr="00C57832" w:rsidRDefault="006B4934">
      <w:pPr>
        <w:rPr>
          <w:lang w:val="fr-BE"/>
        </w:rPr>
      </w:pPr>
    </w:p>
    <w:p w14:paraId="397C7F9E" w14:textId="77777777" w:rsidR="006B4934" w:rsidRPr="00C57832" w:rsidRDefault="006B4934">
      <w:pPr>
        <w:rPr>
          <w:lang w:val="fr-BE"/>
        </w:rPr>
      </w:pPr>
      <w:r w:rsidRPr="00C57832">
        <w:rPr>
          <w:lang w:val="fr-BE"/>
        </w:rPr>
        <w:t xml:space="preserve">Fait à : ……………………………………………………………………. </w:t>
      </w:r>
      <w:proofErr w:type="gramStart"/>
      <w:r w:rsidRPr="00C57832">
        <w:rPr>
          <w:lang w:val="fr-BE"/>
        </w:rPr>
        <w:t>le</w:t>
      </w:r>
      <w:proofErr w:type="gramEnd"/>
      <w:r w:rsidRPr="00C57832">
        <w:rPr>
          <w:lang w:val="fr-BE"/>
        </w:rPr>
        <w:t xml:space="preserve"> …………………………………………………………</w:t>
      </w:r>
    </w:p>
    <w:p w14:paraId="397C7F9F" w14:textId="77777777" w:rsidR="006B4934" w:rsidRPr="00C57832" w:rsidRDefault="006B4934">
      <w:pPr>
        <w:rPr>
          <w:lang w:val="fr-BE"/>
        </w:rPr>
      </w:pPr>
      <w:r w:rsidRPr="00C57832">
        <w:rPr>
          <w:lang w:val="fr-BE"/>
        </w:rPr>
        <w:t>Nom : ………………………………………………………………………</w:t>
      </w:r>
    </w:p>
    <w:p w14:paraId="397C7FA0" w14:textId="77777777" w:rsidR="006B4934" w:rsidRPr="00C57832" w:rsidRDefault="006B4934">
      <w:pPr>
        <w:rPr>
          <w:lang w:val="fr-BE"/>
        </w:rPr>
      </w:pPr>
      <w:r w:rsidRPr="00C57832">
        <w:rPr>
          <w:lang w:val="fr-BE"/>
        </w:rPr>
        <w:t>Fonction</w:t>
      </w:r>
      <w:proofErr w:type="gramStart"/>
      <w:r w:rsidRPr="00C57832">
        <w:rPr>
          <w:lang w:val="fr-BE"/>
        </w:rPr>
        <w:t xml:space="preserve"> :…</w:t>
      </w:r>
      <w:proofErr w:type="gramEnd"/>
      <w:r w:rsidRPr="00C57832">
        <w:rPr>
          <w:lang w:val="fr-BE"/>
        </w:rPr>
        <w:t>………………………………………………………………</w:t>
      </w:r>
    </w:p>
    <w:p w14:paraId="397C7FA3" w14:textId="77777777" w:rsidR="006B4934" w:rsidRPr="00C57832" w:rsidRDefault="006B4934">
      <w:pPr>
        <w:rPr>
          <w:lang w:val="fr-BE"/>
        </w:rPr>
      </w:pPr>
      <w:r w:rsidRPr="00C57832">
        <w:rPr>
          <w:lang w:val="fr-BE"/>
        </w:rPr>
        <w:t>Signature et cachet de la société :</w:t>
      </w:r>
    </w:p>
    <w:p w14:paraId="397C7FA4" w14:textId="189496E1" w:rsidR="003A04D1" w:rsidRPr="00C57832" w:rsidRDefault="003A04D1">
      <w:pPr>
        <w:spacing w:after="0" w:line="240" w:lineRule="auto"/>
        <w:rPr>
          <w:lang w:val="fr-BE"/>
        </w:rPr>
      </w:pPr>
      <w:r w:rsidRPr="00C57832">
        <w:rPr>
          <w:lang w:val="fr-BE"/>
        </w:rPr>
        <w:br w:type="page"/>
      </w:r>
    </w:p>
    <w:p w14:paraId="397C7FA5" w14:textId="2AA6F075" w:rsidR="006B4934" w:rsidRPr="00C57832" w:rsidRDefault="006B4934">
      <w:pPr>
        <w:pBdr>
          <w:top w:val="single" w:sz="4" w:space="1" w:color="auto"/>
          <w:left w:val="single" w:sz="4" w:space="4" w:color="auto"/>
          <w:bottom w:val="single" w:sz="4" w:space="1" w:color="auto"/>
          <w:right w:val="single" w:sz="4" w:space="4" w:color="auto"/>
        </w:pBdr>
        <w:jc w:val="both"/>
        <w:rPr>
          <w:rFonts w:eastAsia="Times New Roman"/>
          <w:b/>
          <w:color w:val="000000"/>
          <w:szCs w:val="18"/>
          <w:lang w:val="fr-BE" w:eastAsia="nl-NL"/>
        </w:rPr>
      </w:pPr>
      <w:r w:rsidRPr="00C57832">
        <w:rPr>
          <w:rFonts w:eastAsia="Times New Roman"/>
          <w:b/>
          <w:color w:val="000000"/>
          <w:szCs w:val="18"/>
          <w:lang w:val="fr-BE" w:eastAsia="nl-NL"/>
        </w:rPr>
        <w:lastRenderedPageBreak/>
        <w:t xml:space="preserve">Lot </w:t>
      </w:r>
      <w:proofErr w:type="gramStart"/>
      <w:r w:rsidRPr="00C57832">
        <w:rPr>
          <w:rFonts w:eastAsia="Times New Roman"/>
          <w:b/>
          <w:color w:val="000000"/>
          <w:szCs w:val="18"/>
          <w:lang w:val="fr-BE" w:eastAsia="nl-NL"/>
        </w:rPr>
        <w:t>2:</w:t>
      </w:r>
      <w:proofErr w:type="gramEnd"/>
      <w:r w:rsidRPr="00C57832">
        <w:rPr>
          <w:rFonts w:eastAsia="Times New Roman"/>
          <w:b/>
          <w:color w:val="000000"/>
          <w:szCs w:val="18"/>
          <w:lang w:val="fr-BE" w:eastAsia="nl-NL"/>
        </w:rPr>
        <w:t xml:space="preserve"> Collecte du PMC </w:t>
      </w:r>
      <w:r w:rsidR="004D2C09" w:rsidRPr="00C57832">
        <w:rPr>
          <w:rFonts w:eastAsia="Times New Roman"/>
          <w:b/>
          <w:color w:val="000000"/>
          <w:szCs w:val="18"/>
          <w:lang w:val="fr-BE" w:eastAsia="nl-NL"/>
        </w:rPr>
        <w:t xml:space="preserve">sur </w:t>
      </w:r>
      <w:r w:rsidRPr="00C57832">
        <w:rPr>
          <w:rFonts w:eastAsia="Times New Roman"/>
          <w:b/>
          <w:color w:val="000000"/>
          <w:szCs w:val="18"/>
          <w:lang w:val="fr-BE" w:eastAsia="nl-NL"/>
        </w:rPr>
        <w:t xml:space="preserve">les </w:t>
      </w:r>
      <w:proofErr w:type="spellStart"/>
      <w:r w:rsidR="00872188" w:rsidRPr="00C57832">
        <w:rPr>
          <w:rFonts w:eastAsia="Times New Roman"/>
          <w:b/>
          <w:color w:val="000000"/>
          <w:szCs w:val="18"/>
          <w:lang w:val="fr-BE" w:eastAsia="nl-NL"/>
        </w:rPr>
        <w:t>recyparcs</w:t>
      </w:r>
      <w:proofErr w:type="spellEnd"/>
    </w:p>
    <w:tbl>
      <w:tblPr>
        <w:tblW w:w="14175" w:type="dxa"/>
        <w:tblLayout w:type="fixed"/>
        <w:tblCellMar>
          <w:left w:w="120" w:type="dxa"/>
          <w:right w:w="120" w:type="dxa"/>
        </w:tblCellMar>
        <w:tblLook w:val="0000" w:firstRow="0" w:lastRow="0" w:firstColumn="0" w:lastColumn="0" w:noHBand="0" w:noVBand="0"/>
      </w:tblPr>
      <w:tblGrid>
        <w:gridCol w:w="3780"/>
        <w:gridCol w:w="1371"/>
        <w:gridCol w:w="1432"/>
        <w:gridCol w:w="1261"/>
        <w:gridCol w:w="1340"/>
        <w:gridCol w:w="1589"/>
        <w:gridCol w:w="1104"/>
        <w:gridCol w:w="2298"/>
      </w:tblGrid>
      <w:tr w:rsidR="00FC2706" w:rsidRPr="00C57832" w14:paraId="7B09966B" w14:textId="77777777" w:rsidTr="00764106">
        <w:trPr>
          <w:cantSplit/>
          <w:trHeight w:val="178"/>
        </w:trPr>
        <w:tc>
          <w:tcPr>
            <w:tcW w:w="3780" w:type="dxa"/>
            <w:vMerge w:val="restart"/>
            <w:tcBorders>
              <w:top w:val="single" w:sz="6" w:space="0" w:color="000000"/>
              <w:left w:val="single" w:sz="6" w:space="0" w:color="000000"/>
              <w:right w:val="single" w:sz="6" w:space="0" w:color="000000"/>
            </w:tcBorders>
            <w:shd w:val="clear" w:color="auto" w:fill="D9D9D9"/>
            <w:vAlign w:val="center"/>
          </w:tcPr>
          <w:p w14:paraId="43A1E04F" w14:textId="77777777" w:rsidR="00FC2706" w:rsidRPr="00C57832" w:rsidRDefault="00FC2706" w:rsidP="00C76C93">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Type de conteneur</w:t>
            </w:r>
          </w:p>
        </w:tc>
        <w:tc>
          <w:tcPr>
            <w:tcW w:w="4064"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3427115D" w14:textId="5455F50C"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 xml:space="preserve">Placement et location des conteneurs dans les </w:t>
            </w:r>
            <w:proofErr w:type="spellStart"/>
            <w:r w:rsidRPr="00C57832">
              <w:rPr>
                <w:rFonts w:eastAsia="Times New Roman"/>
                <w:color w:val="000000"/>
                <w:sz w:val="16"/>
                <w:szCs w:val="16"/>
                <w:lang w:val="fr-BE" w:eastAsia="nl-NL"/>
              </w:rPr>
              <w:t>recyparcs</w:t>
            </w:r>
            <w:proofErr w:type="spellEnd"/>
            <w:r w:rsidRPr="00C57832">
              <w:rPr>
                <w:rFonts w:eastAsia="Times New Roman"/>
                <w:color w:val="000000"/>
                <w:sz w:val="16"/>
                <w:szCs w:val="16"/>
                <w:lang w:val="fr-BE" w:eastAsia="nl-NL"/>
              </w:rPr>
              <w:t xml:space="preserve"> et déchargement des conteneurs au point de livraison: </w:t>
            </w:r>
            <w:r w:rsidRPr="00C57832">
              <w:rPr>
                <w:rFonts w:eastAsia="Times New Roman"/>
                <w:color w:val="000000"/>
                <w:sz w:val="16"/>
                <w:szCs w:val="16"/>
                <w:lang w:val="fr-BE" w:eastAsia="nl-NL"/>
              </w:rPr>
              <w:fldChar w:fldCharType="begin">
                <w:ffData>
                  <w:name w:val=""/>
                  <w:enabled/>
                  <w:calcOnExit w:val="0"/>
                  <w:textInput>
                    <w:default w:val="&lt;indiquer le nom et l'adresse du centre de tri ou de la station de transfert&gt;"/>
                  </w:textInput>
                </w:ffData>
              </w:fldChar>
            </w:r>
            <w:r w:rsidRPr="00C57832">
              <w:rPr>
                <w:rFonts w:eastAsia="Times New Roman"/>
                <w:color w:val="000000"/>
                <w:sz w:val="16"/>
                <w:szCs w:val="16"/>
                <w:lang w:val="fr-BE" w:eastAsia="nl-NL"/>
              </w:rPr>
              <w:instrText xml:space="preserve"> FORMTEXT </w:instrText>
            </w:r>
            <w:r w:rsidRPr="00C57832">
              <w:rPr>
                <w:rFonts w:eastAsia="Times New Roman"/>
                <w:color w:val="000000"/>
                <w:sz w:val="16"/>
                <w:szCs w:val="16"/>
                <w:lang w:val="fr-BE" w:eastAsia="nl-NL"/>
              </w:rPr>
            </w:r>
            <w:r w:rsidRPr="00C57832">
              <w:rPr>
                <w:rFonts w:eastAsia="Times New Roman"/>
                <w:color w:val="000000"/>
                <w:sz w:val="16"/>
                <w:szCs w:val="16"/>
                <w:lang w:val="fr-BE" w:eastAsia="nl-NL"/>
              </w:rPr>
              <w:fldChar w:fldCharType="separate"/>
            </w:r>
            <w:r w:rsidRPr="00C57832">
              <w:rPr>
                <w:rFonts w:eastAsia="Times New Roman"/>
                <w:color w:val="000000"/>
                <w:sz w:val="16"/>
                <w:szCs w:val="16"/>
                <w:lang w:val="fr-BE" w:eastAsia="nl-NL"/>
              </w:rPr>
              <w:t>&lt;indiquer le nom et l'adresse du centre de tri ou de la station de transfert&gt;</w:t>
            </w:r>
            <w:r w:rsidRPr="00C57832">
              <w:rPr>
                <w:rFonts w:eastAsia="Times New Roman"/>
                <w:color w:val="000000"/>
                <w:sz w:val="16"/>
                <w:szCs w:val="16"/>
                <w:lang w:val="fr-BE" w:eastAsia="nl-NL"/>
              </w:rPr>
              <w:fldChar w:fldCharType="end"/>
            </w:r>
          </w:p>
        </w:tc>
        <w:tc>
          <w:tcPr>
            <w:tcW w:w="4033"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59D1EE61" w14:textId="3763944D" w:rsidR="00FC2706" w:rsidRPr="00C57832" w:rsidRDefault="00FC2706" w:rsidP="004927EF">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 xml:space="preserve">Transport des conteneurs des </w:t>
            </w:r>
            <w:proofErr w:type="spellStart"/>
            <w:r w:rsidRPr="00C57832">
              <w:rPr>
                <w:rFonts w:eastAsia="Times New Roman"/>
                <w:color w:val="000000"/>
                <w:sz w:val="16"/>
                <w:szCs w:val="16"/>
                <w:lang w:val="fr-BE" w:eastAsia="nl-NL"/>
              </w:rPr>
              <w:t>recyparcs</w:t>
            </w:r>
            <w:proofErr w:type="spellEnd"/>
            <w:r w:rsidRPr="00C57832">
              <w:rPr>
                <w:rFonts w:eastAsia="Times New Roman"/>
                <w:color w:val="000000"/>
                <w:sz w:val="16"/>
                <w:szCs w:val="16"/>
                <w:lang w:val="fr-BE" w:eastAsia="nl-NL"/>
              </w:rPr>
              <w:t xml:space="preserve"> vers le point de livraison, la distance la plus courte par la route (km) </w:t>
            </w:r>
            <w:r w:rsidR="004927EF" w:rsidRPr="00C57832">
              <w:rPr>
                <w:rFonts w:eastAsia="Times New Roman"/>
                <w:color w:val="000000"/>
                <w:sz w:val="16"/>
                <w:szCs w:val="16"/>
                <w:lang w:val="fr-BE" w:eastAsia="nl-NL"/>
              </w:rPr>
              <w:t>entre</w:t>
            </w:r>
            <w:r w:rsidRPr="00C57832">
              <w:rPr>
                <w:rFonts w:eastAsia="Times New Roman"/>
                <w:color w:val="000000"/>
                <w:sz w:val="16"/>
                <w:szCs w:val="16"/>
                <w:lang w:val="fr-BE" w:eastAsia="nl-NL"/>
              </w:rPr>
              <w:t xml:space="preserve"> </w:t>
            </w:r>
            <w:r w:rsidRPr="00C57832">
              <w:rPr>
                <w:rFonts w:eastAsia="Times New Roman"/>
                <w:color w:val="000000"/>
                <w:sz w:val="16"/>
                <w:szCs w:val="16"/>
                <w:lang w:val="fr-BE" w:eastAsia="nl-NL"/>
              </w:rPr>
              <w:fldChar w:fldCharType="begin">
                <w:ffData>
                  <w:name w:val=""/>
                  <w:enabled/>
                  <w:calcOnExit w:val="0"/>
                  <w:textInput>
                    <w:default w:val="&lt;remplir point de référence&gt;"/>
                  </w:textInput>
                </w:ffData>
              </w:fldChar>
            </w:r>
            <w:r w:rsidRPr="00C57832">
              <w:rPr>
                <w:rFonts w:eastAsia="Times New Roman"/>
                <w:color w:val="000000"/>
                <w:sz w:val="16"/>
                <w:szCs w:val="16"/>
                <w:lang w:val="fr-BE" w:eastAsia="nl-NL"/>
              </w:rPr>
              <w:instrText xml:space="preserve"> FORMTEXT </w:instrText>
            </w:r>
            <w:r w:rsidRPr="00C57832">
              <w:rPr>
                <w:rFonts w:eastAsia="Times New Roman"/>
                <w:color w:val="000000"/>
                <w:sz w:val="16"/>
                <w:szCs w:val="16"/>
                <w:lang w:val="fr-BE" w:eastAsia="nl-NL"/>
              </w:rPr>
            </w:r>
            <w:r w:rsidRPr="00C57832">
              <w:rPr>
                <w:rFonts w:eastAsia="Times New Roman"/>
                <w:color w:val="000000"/>
                <w:sz w:val="16"/>
                <w:szCs w:val="16"/>
                <w:lang w:val="fr-BE" w:eastAsia="nl-NL"/>
              </w:rPr>
              <w:fldChar w:fldCharType="separate"/>
            </w:r>
            <w:r w:rsidRPr="00C57832">
              <w:rPr>
                <w:rFonts w:eastAsia="Times New Roman"/>
                <w:color w:val="000000"/>
                <w:sz w:val="16"/>
                <w:szCs w:val="16"/>
                <w:lang w:val="fr-BE" w:eastAsia="nl-NL"/>
              </w:rPr>
              <w:t>&lt;remplir point de référence&gt;</w:t>
            </w:r>
            <w:r w:rsidRPr="00C57832">
              <w:rPr>
                <w:rFonts w:eastAsia="Times New Roman"/>
                <w:color w:val="000000"/>
                <w:sz w:val="16"/>
                <w:szCs w:val="16"/>
                <w:lang w:val="fr-BE" w:eastAsia="nl-NL"/>
              </w:rPr>
              <w:fldChar w:fldCharType="end"/>
            </w:r>
            <w:r w:rsidRPr="00C57832">
              <w:rPr>
                <w:rFonts w:eastAsia="Times New Roman"/>
                <w:color w:val="000000"/>
                <w:sz w:val="16"/>
                <w:szCs w:val="16"/>
                <w:lang w:val="fr-BE" w:eastAsia="nl-NL"/>
              </w:rPr>
              <w:t xml:space="preserve"> </w:t>
            </w:r>
            <w:r w:rsidR="004927EF" w:rsidRPr="00C57832">
              <w:rPr>
                <w:rFonts w:eastAsia="Times New Roman"/>
                <w:color w:val="000000"/>
                <w:sz w:val="16"/>
                <w:szCs w:val="16"/>
                <w:lang w:val="fr-BE" w:eastAsia="nl-NL"/>
              </w:rPr>
              <w:t xml:space="preserve">du centre de tri (ou de la station de transfert proposée par le soumissionnaire) désigné par le pouvoir adjudicateur ou </w:t>
            </w:r>
            <w:proofErr w:type="spellStart"/>
            <w:r w:rsidR="004927EF" w:rsidRPr="00C57832">
              <w:rPr>
                <w:rFonts w:eastAsia="Times New Roman"/>
                <w:color w:val="000000"/>
                <w:sz w:val="16"/>
                <w:szCs w:val="16"/>
                <w:lang w:val="fr-BE" w:eastAsia="nl-NL"/>
              </w:rPr>
              <w:t>Fost</w:t>
            </w:r>
            <w:proofErr w:type="spellEnd"/>
            <w:r w:rsidR="004927EF" w:rsidRPr="00C57832">
              <w:rPr>
                <w:rFonts w:eastAsia="Times New Roman"/>
                <w:color w:val="000000"/>
                <w:sz w:val="16"/>
                <w:szCs w:val="16"/>
                <w:lang w:val="fr-BE" w:eastAsia="nl-NL"/>
              </w:rPr>
              <w:t xml:space="preserve"> Plus</w:t>
            </w:r>
            <w:r w:rsidRPr="00C57832">
              <w:rPr>
                <w:rFonts w:eastAsia="Times New Roman"/>
                <w:color w:val="000000"/>
                <w:sz w:val="16"/>
                <w:szCs w:val="16"/>
                <w:lang w:val="fr-BE" w:eastAsia="nl-NL"/>
              </w:rPr>
              <w:t xml:space="preserve">, calculée sur base du logiciel </w:t>
            </w:r>
            <w:proofErr w:type="spellStart"/>
            <w:r w:rsidR="004927EF" w:rsidRPr="00C57832">
              <w:rPr>
                <w:rFonts w:eastAsia="Times New Roman"/>
                <w:color w:val="000000"/>
                <w:sz w:val="16"/>
                <w:szCs w:val="16"/>
                <w:lang w:val="fr-BE" w:eastAsia="nl-NL"/>
              </w:rPr>
              <w:t>Routenet</w:t>
            </w:r>
            <w:proofErr w:type="spellEnd"/>
            <w:r w:rsidR="004927EF" w:rsidRPr="00C57832">
              <w:rPr>
                <w:rFonts w:eastAsia="Times New Roman"/>
                <w:color w:val="000000"/>
                <w:sz w:val="16"/>
                <w:szCs w:val="16"/>
                <w:lang w:val="fr-BE" w:eastAsia="nl-NL"/>
              </w:rPr>
              <w:t xml:space="preserve"> (camions 20 T)</w:t>
            </w:r>
            <w:r w:rsidRPr="00C57832">
              <w:rPr>
                <w:rFonts w:eastAsia="Times New Roman"/>
                <w:color w:val="000000"/>
                <w:sz w:val="16"/>
                <w:szCs w:val="16"/>
                <w:lang w:val="fr-BE" w:eastAsia="nl-NL"/>
              </w:rPr>
              <w:t xml:space="preserve"> </w:t>
            </w:r>
          </w:p>
        </w:tc>
        <w:tc>
          <w:tcPr>
            <w:tcW w:w="2298" w:type="dxa"/>
            <w:tcBorders>
              <w:top w:val="single" w:sz="6" w:space="0" w:color="000000"/>
              <w:left w:val="single" w:sz="8" w:space="0" w:color="000000"/>
              <w:right w:val="single" w:sz="6" w:space="0" w:color="000000"/>
            </w:tcBorders>
            <w:shd w:val="clear" w:color="auto" w:fill="D9D9D9"/>
            <w:vAlign w:val="center"/>
          </w:tcPr>
          <w:p w14:paraId="65B2F805"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Total</w:t>
            </w:r>
          </w:p>
          <w:p w14:paraId="1DE1D087"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(EUR/an)</w:t>
            </w:r>
          </w:p>
        </w:tc>
      </w:tr>
      <w:tr w:rsidR="00FC2706" w:rsidRPr="00C57832" w14:paraId="3CEDE4C6" w14:textId="77777777" w:rsidTr="00764106">
        <w:trPr>
          <w:cantSplit/>
        </w:trPr>
        <w:tc>
          <w:tcPr>
            <w:tcW w:w="3780" w:type="dxa"/>
            <w:vMerge/>
            <w:tcBorders>
              <w:left w:val="single" w:sz="6" w:space="0" w:color="000000"/>
              <w:bottom w:val="single" w:sz="6" w:space="0" w:color="000000"/>
              <w:right w:val="single" w:sz="6" w:space="0" w:color="000000"/>
            </w:tcBorders>
            <w:shd w:val="clear" w:color="auto" w:fill="D9D9D9"/>
            <w:vAlign w:val="center"/>
          </w:tcPr>
          <w:p w14:paraId="39DC7CBC" w14:textId="77777777" w:rsidR="00FC2706" w:rsidRPr="00C57832" w:rsidRDefault="00FC2706" w:rsidP="00C76C93">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p>
        </w:tc>
        <w:tc>
          <w:tcPr>
            <w:tcW w:w="137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AAA077F" w14:textId="77777777" w:rsidR="00FC2706" w:rsidRPr="00C57832" w:rsidRDefault="00FC2706" w:rsidP="00C76C93">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Unités (conteneurs)</w:t>
            </w:r>
          </w:p>
          <w:p w14:paraId="47EE6CC0" w14:textId="77777777" w:rsidR="00FC2706" w:rsidRPr="00C57832" w:rsidRDefault="00FC2706" w:rsidP="00C76C93">
            <w:pPr>
              <w:spacing w:after="58"/>
              <w:jc w:val="center"/>
              <w:rPr>
                <w:rFonts w:eastAsia="Times New Roman"/>
                <w:color w:val="000000"/>
                <w:sz w:val="16"/>
                <w:szCs w:val="16"/>
                <w:lang w:val="fr-BE" w:eastAsia="nl-NL"/>
              </w:rPr>
            </w:pPr>
          </w:p>
        </w:tc>
        <w:tc>
          <w:tcPr>
            <w:tcW w:w="143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0CEE4E2" w14:textId="77777777" w:rsidR="00FC2706" w:rsidRPr="00C57832" w:rsidRDefault="00FC2706" w:rsidP="00C76C93">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Prix unitaire</w:t>
            </w:r>
          </w:p>
          <w:p w14:paraId="3C2F717E" w14:textId="77777777" w:rsidR="00FC2706" w:rsidRPr="00C57832" w:rsidRDefault="00FC2706" w:rsidP="00C76C93">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(EUR/</w:t>
            </w:r>
          </w:p>
          <w:p w14:paraId="0321BBE1" w14:textId="77777777" w:rsidR="00FC2706" w:rsidRPr="00C57832" w:rsidRDefault="00FC2706" w:rsidP="00C76C93">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conteneurs)</w:t>
            </w:r>
          </w:p>
        </w:tc>
        <w:tc>
          <w:tcPr>
            <w:tcW w:w="126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03156B1" w14:textId="77777777" w:rsidR="00FC2706" w:rsidRPr="00C57832" w:rsidRDefault="00FC2706" w:rsidP="00C76C93">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Total</w:t>
            </w:r>
          </w:p>
          <w:p w14:paraId="3FD7A7BC" w14:textId="77777777" w:rsidR="00FC2706" w:rsidRPr="00C57832" w:rsidRDefault="00FC2706" w:rsidP="00C76C93">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(EUR)</w:t>
            </w:r>
          </w:p>
          <w:p w14:paraId="4F4AA333" w14:textId="77777777" w:rsidR="00FC2706" w:rsidRPr="00C57832" w:rsidRDefault="00FC2706" w:rsidP="00C76C93">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(1)</w:t>
            </w:r>
          </w:p>
        </w:tc>
        <w:tc>
          <w:tcPr>
            <w:tcW w:w="13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63B570"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Unités</w:t>
            </w:r>
          </w:p>
          <w:p w14:paraId="753488B0"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(tonne x km*)</w:t>
            </w:r>
          </w:p>
        </w:tc>
        <w:tc>
          <w:tcPr>
            <w:tcW w:w="158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6CC3A4"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Prix unitaire</w:t>
            </w:r>
          </w:p>
          <w:p w14:paraId="169A6696"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(EUR/tonne.km)</w:t>
            </w:r>
          </w:p>
        </w:tc>
        <w:tc>
          <w:tcPr>
            <w:tcW w:w="110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5E53A5"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Total</w:t>
            </w:r>
          </w:p>
          <w:p w14:paraId="09BBC1E7"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(EUR)</w:t>
            </w:r>
          </w:p>
          <w:p w14:paraId="030A700C"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(2)</w:t>
            </w:r>
          </w:p>
        </w:tc>
        <w:tc>
          <w:tcPr>
            <w:tcW w:w="2298" w:type="dxa"/>
            <w:tcBorders>
              <w:left w:val="single" w:sz="8" w:space="0" w:color="000000"/>
              <w:bottom w:val="single" w:sz="6" w:space="0" w:color="000000"/>
              <w:right w:val="single" w:sz="6" w:space="0" w:color="000000"/>
            </w:tcBorders>
            <w:shd w:val="clear" w:color="auto" w:fill="D9D9D9"/>
            <w:vAlign w:val="center"/>
          </w:tcPr>
          <w:p w14:paraId="42792785"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(1+2)</w:t>
            </w:r>
          </w:p>
        </w:tc>
      </w:tr>
      <w:tr w:rsidR="00FC2706" w:rsidRPr="00C57832" w14:paraId="4F35B699" w14:textId="77777777" w:rsidTr="00764106">
        <w:trPr>
          <w:trHeight w:val="850"/>
        </w:trPr>
        <w:tc>
          <w:tcPr>
            <w:tcW w:w="3780" w:type="dxa"/>
            <w:tcBorders>
              <w:top w:val="single" w:sz="6" w:space="0" w:color="000000"/>
              <w:left w:val="single" w:sz="6" w:space="0" w:color="000000"/>
              <w:bottom w:val="single" w:sz="6" w:space="0" w:color="000000"/>
              <w:right w:val="single" w:sz="6" w:space="0" w:color="000000"/>
            </w:tcBorders>
            <w:vAlign w:val="center"/>
          </w:tcPr>
          <w:p w14:paraId="0D6E470A"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30 m³</w:t>
            </w:r>
          </w:p>
        </w:tc>
        <w:tc>
          <w:tcPr>
            <w:tcW w:w="1371" w:type="dxa"/>
            <w:tcBorders>
              <w:top w:val="single" w:sz="6" w:space="0" w:color="000000"/>
              <w:left w:val="single" w:sz="6" w:space="0" w:color="000000"/>
              <w:bottom w:val="single" w:sz="6" w:space="0" w:color="000000"/>
              <w:right w:val="single" w:sz="6" w:space="0" w:color="000000"/>
            </w:tcBorders>
            <w:vAlign w:val="center"/>
          </w:tcPr>
          <w:p w14:paraId="5AA80C92"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AAA</w:t>
            </w:r>
          </w:p>
        </w:tc>
        <w:tc>
          <w:tcPr>
            <w:tcW w:w="1432" w:type="dxa"/>
            <w:tcBorders>
              <w:top w:val="single" w:sz="6" w:space="0" w:color="000000"/>
              <w:left w:val="single" w:sz="6" w:space="0" w:color="000000"/>
              <w:bottom w:val="single" w:sz="6" w:space="0" w:color="000000"/>
              <w:right w:val="single" w:sz="6" w:space="0" w:color="000000"/>
            </w:tcBorders>
            <w:vAlign w:val="center"/>
          </w:tcPr>
          <w:p w14:paraId="7BF710E1"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w:t>
            </w:r>
          </w:p>
        </w:tc>
        <w:tc>
          <w:tcPr>
            <w:tcW w:w="1261" w:type="dxa"/>
            <w:tcBorders>
              <w:top w:val="single" w:sz="6" w:space="0" w:color="000000"/>
              <w:left w:val="single" w:sz="6" w:space="0" w:color="000000"/>
              <w:bottom w:val="single" w:sz="6" w:space="0" w:color="000000"/>
              <w:right w:val="single" w:sz="6" w:space="0" w:color="000000"/>
            </w:tcBorders>
            <w:vAlign w:val="center"/>
          </w:tcPr>
          <w:p w14:paraId="504F91C1"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w:t>
            </w:r>
          </w:p>
        </w:tc>
        <w:tc>
          <w:tcPr>
            <w:tcW w:w="1340" w:type="dxa"/>
            <w:tcBorders>
              <w:top w:val="single" w:sz="6" w:space="0" w:color="000000"/>
              <w:left w:val="single" w:sz="6" w:space="0" w:color="000000"/>
              <w:bottom w:val="single" w:sz="6" w:space="0" w:color="000000"/>
              <w:right w:val="single" w:sz="6" w:space="0" w:color="000000"/>
            </w:tcBorders>
            <w:vAlign w:val="center"/>
          </w:tcPr>
          <w:p w14:paraId="1797896F" w14:textId="50B6B03C" w:rsidR="00FC2706" w:rsidRPr="00C57832" w:rsidRDefault="00FC2706" w:rsidP="008620DD">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 xml:space="preserve">BBB x </w:t>
            </w:r>
            <w:r w:rsidR="008620DD" w:rsidRPr="00C57832">
              <w:rPr>
                <w:rFonts w:eastAsia="Times New Roman"/>
                <w:color w:val="000000"/>
                <w:sz w:val="16"/>
                <w:szCs w:val="16"/>
                <w:lang w:val="fr-BE" w:eastAsia="nl-NL"/>
              </w:rPr>
              <w:t>25</w:t>
            </w:r>
          </w:p>
        </w:tc>
        <w:tc>
          <w:tcPr>
            <w:tcW w:w="1589" w:type="dxa"/>
            <w:tcBorders>
              <w:top w:val="single" w:sz="6" w:space="0" w:color="000000"/>
              <w:left w:val="single" w:sz="6" w:space="0" w:color="000000"/>
              <w:bottom w:val="single" w:sz="6" w:space="0" w:color="000000"/>
              <w:right w:val="single" w:sz="6" w:space="0" w:color="000000"/>
            </w:tcBorders>
            <w:vAlign w:val="center"/>
          </w:tcPr>
          <w:p w14:paraId="2B802584"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w:t>
            </w:r>
          </w:p>
        </w:tc>
        <w:tc>
          <w:tcPr>
            <w:tcW w:w="1104" w:type="dxa"/>
            <w:tcBorders>
              <w:top w:val="single" w:sz="6" w:space="0" w:color="000000"/>
              <w:left w:val="single" w:sz="6" w:space="0" w:color="000000"/>
              <w:bottom w:val="single" w:sz="6" w:space="0" w:color="000000"/>
              <w:right w:val="single" w:sz="6" w:space="0" w:color="000000"/>
            </w:tcBorders>
            <w:vAlign w:val="center"/>
          </w:tcPr>
          <w:p w14:paraId="6E2C09A6"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w:t>
            </w:r>
          </w:p>
        </w:tc>
        <w:tc>
          <w:tcPr>
            <w:tcW w:w="2298" w:type="dxa"/>
            <w:tcBorders>
              <w:top w:val="single" w:sz="6" w:space="0" w:color="000000"/>
              <w:left w:val="single" w:sz="6" w:space="0" w:color="000000"/>
              <w:bottom w:val="single" w:sz="6" w:space="0" w:color="000000"/>
              <w:right w:val="single" w:sz="6" w:space="0" w:color="000000"/>
            </w:tcBorders>
            <w:vAlign w:val="center"/>
          </w:tcPr>
          <w:p w14:paraId="2A7B1733"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 (3)</w:t>
            </w:r>
          </w:p>
        </w:tc>
      </w:tr>
      <w:tr w:rsidR="00FC2706" w:rsidRPr="00C57832" w14:paraId="21A0AAFC" w14:textId="77777777" w:rsidTr="00764106">
        <w:trPr>
          <w:trHeight w:val="850"/>
        </w:trPr>
        <w:tc>
          <w:tcPr>
            <w:tcW w:w="3780" w:type="dxa"/>
            <w:tcBorders>
              <w:top w:val="single" w:sz="6" w:space="0" w:color="000000"/>
              <w:left w:val="single" w:sz="6" w:space="0" w:color="000000"/>
              <w:bottom w:val="single" w:sz="6" w:space="0" w:color="000000"/>
              <w:right w:val="single" w:sz="6" w:space="0" w:color="000000"/>
            </w:tcBorders>
            <w:vAlign w:val="center"/>
          </w:tcPr>
          <w:p w14:paraId="5AAAF8D4"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40 m³</w:t>
            </w:r>
          </w:p>
        </w:tc>
        <w:tc>
          <w:tcPr>
            <w:tcW w:w="1371" w:type="dxa"/>
            <w:tcBorders>
              <w:top w:val="single" w:sz="6" w:space="0" w:color="000000"/>
              <w:left w:val="single" w:sz="6" w:space="0" w:color="000000"/>
              <w:bottom w:val="single" w:sz="6" w:space="0" w:color="000000"/>
              <w:right w:val="single" w:sz="6" w:space="0" w:color="000000"/>
            </w:tcBorders>
            <w:vAlign w:val="center"/>
          </w:tcPr>
          <w:p w14:paraId="6C18B069"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DDD</w:t>
            </w:r>
          </w:p>
        </w:tc>
        <w:tc>
          <w:tcPr>
            <w:tcW w:w="1432" w:type="dxa"/>
            <w:tcBorders>
              <w:top w:val="single" w:sz="6" w:space="0" w:color="000000"/>
              <w:left w:val="single" w:sz="6" w:space="0" w:color="000000"/>
              <w:bottom w:val="single" w:sz="6" w:space="0" w:color="000000"/>
              <w:right w:val="single" w:sz="6" w:space="0" w:color="000000"/>
            </w:tcBorders>
            <w:vAlign w:val="center"/>
          </w:tcPr>
          <w:p w14:paraId="0A348C5B"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w:t>
            </w:r>
          </w:p>
        </w:tc>
        <w:tc>
          <w:tcPr>
            <w:tcW w:w="1261" w:type="dxa"/>
            <w:tcBorders>
              <w:top w:val="single" w:sz="6" w:space="0" w:color="000000"/>
              <w:left w:val="single" w:sz="6" w:space="0" w:color="000000"/>
              <w:bottom w:val="single" w:sz="6" w:space="0" w:color="000000"/>
              <w:right w:val="single" w:sz="6" w:space="0" w:color="000000"/>
            </w:tcBorders>
            <w:vAlign w:val="center"/>
          </w:tcPr>
          <w:p w14:paraId="1CF93B3A"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w:t>
            </w:r>
          </w:p>
        </w:tc>
        <w:tc>
          <w:tcPr>
            <w:tcW w:w="1340" w:type="dxa"/>
            <w:tcBorders>
              <w:top w:val="single" w:sz="6" w:space="0" w:color="000000"/>
              <w:left w:val="single" w:sz="6" w:space="0" w:color="000000"/>
              <w:bottom w:val="single" w:sz="6" w:space="0" w:color="000000"/>
              <w:right w:val="single" w:sz="6" w:space="0" w:color="000000"/>
            </w:tcBorders>
            <w:vAlign w:val="center"/>
          </w:tcPr>
          <w:p w14:paraId="2061F471" w14:textId="6CE707A4" w:rsidR="00FC2706" w:rsidRPr="00C57832" w:rsidRDefault="00FC2706" w:rsidP="008620DD">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 xml:space="preserve">EEE x </w:t>
            </w:r>
            <w:r w:rsidR="008620DD" w:rsidRPr="00C57832">
              <w:rPr>
                <w:rFonts w:eastAsia="Times New Roman"/>
                <w:color w:val="000000"/>
                <w:sz w:val="16"/>
                <w:szCs w:val="16"/>
                <w:lang w:val="fr-BE" w:eastAsia="nl-NL"/>
              </w:rPr>
              <w:t>25</w:t>
            </w:r>
          </w:p>
        </w:tc>
        <w:tc>
          <w:tcPr>
            <w:tcW w:w="1589" w:type="dxa"/>
            <w:tcBorders>
              <w:top w:val="single" w:sz="6" w:space="0" w:color="000000"/>
              <w:left w:val="single" w:sz="6" w:space="0" w:color="000000"/>
              <w:bottom w:val="single" w:sz="6" w:space="0" w:color="000000"/>
              <w:right w:val="single" w:sz="6" w:space="0" w:color="000000"/>
            </w:tcBorders>
            <w:vAlign w:val="center"/>
          </w:tcPr>
          <w:p w14:paraId="68EB5AC1"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w:t>
            </w:r>
          </w:p>
        </w:tc>
        <w:tc>
          <w:tcPr>
            <w:tcW w:w="1104" w:type="dxa"/>
            <w:tcBorders>
              <w:top w:val="single" w:sz="6" w:space="0" w:color="000000"/>
              <w:left w:val="single" w:sz="6" w:space="0" w:color="000000"/>
              <w:bottom w:val="single" w:sz="6" w:space="0" w:color="000000"/>
              <w:right w:val="single" w:sz="6" w:space="0" w:color="000000"/>
            </w:tcBorders>
            <w:vAlign w:val="center"/>
          </w:tcPr>
          <w:p w14:paraId="280597CC"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w:t>
            </w:r>
          </w:p>
        </w:tc>
        <w:tc>
          <w:tcPr>
            <w:tcW w:w="2298" w:type="dxa"/>
            <w:tcBorders>
              <w:top w:val="single" w:sz="6" w:space="0" w:color="000000"/>
              <w:left w:val="single" w:sz="6" w:space="0" w:color="000000"/>
              <w:bottom w:val="single" w:sz="6" w:space="0" w:color="000000"/>
              <w:right w:val="single" w:sz="6" w:space="0" w:color="000000"/>
            </w:tcBorders>
            <w:vAlign w:val="center"/>
          </w:tcPr>
          <w:p w14:paraId="799D4659"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 (4)</w:t>
            </w:r>
          </w:p>
        </w:tc>
      </w:tr>
      <w:tr w:rsidR="00FC2706" w:rsidRPr="00C57832" w14:paraId="54E7F0EC" w14:textId="77777777" w:rsidTr="00764106">
        <w:trPr>
          <w:trHeight w:val="850"/>
        </w:trPr>
        <w:tc>
          <w:tcPr>
            <w:tcW w:w="3780" w:type="dxa"/>
            <w:tcBorders>
              <w:top w:val="single" w:sz="6" w:space="0" w:color="000000"/>
              <w:left w:val="single" w:sz="6" w:space="0" w:color="000000"/>
              <w:bottom w:val="single" w:sz="6" w:space="0" w:color="000000"/>
              <w:right w:val="single" w:sz="6" w:space="0" w:color="000000"/>
            </w:tcBorders>
            <w:vAlign w:val="center"/>
          </w:tcPr>
          <w:p w14:paraId="2BCC59B1"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TOTAL (3+4)</w:t>
            </w:r>
          </w:p>
        </w:tc>
        <w:tc>
          <w:tcPr>
            <w:tcW w:w="1371" w:type="dxa"/>
            <w:tcBorders>
              <w:top w:val="single" w:sz="6" w:space="0" w:color="000000"/>
              <w:left w:val="single" w:sz="6" w:space="0" w:color="000000"/>
              <w:bottom w:val="single" w:sz="6" w:space="0" w:color="000000"/>
              <w:right w:val="single" w:sz="6" w:space="0" w:color="000000"/>
            </w:tcBorders>
            <w:vAlign w:val="center"/>
          </w:tcPr>
          <w:p w14:paraId="5999B477"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p>
        </w:tc>
        <w:tc>
          <w:tcPr>
            <w:tcW w:w="1432" w:type="dxa"/>
            <w:tcBorders>
              <w:top w:val="single" w:sz="6" w:space="0" w:color="000000"/>
              <w:left w:val="single" w:sz="6" w:space="0" w:color="000000"/>
              <w:bottom w:val="single" w:sz="6" w:space="0" w:color="000000"/>
              <w:right w:val="single" w:sz="6" w:space="0" w:color="000000"/>
            </w:tcBorders>
            <w:vAlign w:val="center"/>
          </w:tcPr>
          <w:p w14:paraId="78AD18E9"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p>
        </w:tc>
        <w:tc>
          <w:tcPr>
            <w:tcW w:w="1261" w:type="dxa"/>
            <w:tcBorders>
              <w:top w:val="single" w:sz="6" w:space="0" w:color="000000"/>
              <w:left w:val="single" w:sz="6" w:space="0" w:color="000000"/>
              <w:bottom w:val="single" w:sz="6" w:space="0" w:color="000000"/>
              <w:right w:val="single" w:sz="6" w:space="0" w:color="000000"/>
            </w:tcBorders>
            <w:vAlign w:val="center"/>
          </w:tcPr>
          <w:p w14:paraId="23A1A120"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p>
        </w:tc>
        <w:tc>
          <w:tcPr>
            <w:tcW w:w="1340" w:type="dxa"/>
            <w:tcBorders>
              <w:top w:val="single" w:sz="6" w:space="0" w:color="000000"/>
              <w:left w:val="single" w:sz="6" w:space="0" w:color="000000"/>
              <w:bottom w:val="single" w:sz="6" w:space="0" w:color="000000"/>
              <w:right w:val="single" w:sz="6" w:space="0" w:color="000000"/>
            </w:tcBorders>
            <w:vAlign w:val="center"/>
          </w:tcPr>
          <w:p w14:paraId="0AAF137B"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p>
        </w:tc>
        <w:tc>
          <w:tcPr>
            <w:tcW w:w="1589" w:type="dxa"/>
            <w:tcBorders>
              <w:top w:val="single" w:sz="6" w:space="0" w:color="000000"/>
              <w:left w:val="single" w:sz="6" w:space="0" w:color="000000"/>
              <w:bottom w:val="single" w:sz="6" w:space="0" w:color="000000"/>
              <w:right w:val="single" w:sz="6" w:space="0" w:color="000000"/>
            </w:tcBorders>
            <w:vAlign w:val="center"/>
          </w:tcPr>
          <w:p w14:paraId="798B1AC4"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p>
        </w:tc>
        <w:tc>
          <w:tcPr>
            <w:tcW w:w="1104" w:type="dxa"/>
            <w:tcBorders>
              <w:top w:val="single" w:sz="6" w:space="0" w:color="000000"/>
              <w:left w:val="single" w:sz="6" w:space="0" w:color="000000"/>
              <w:bottom w:val="single" w:sz="6" w:space="0" w:color="000000"/>
              <w:right w:val="single" w:sz="6" w:space="0" w:color="000000"/>
            </w:tcBorders>
            <w:vAlign w:val="center"/>
          </w:tcPr>
          <w:p w14:paraId="688EBD2C"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p>
        </w:tc>
        <w:tc>
          <w:tcPr>
            <w:tcW w:w="2298" w:type="dxa"/>
            <w:tcBorders>
              <w:top w:val="single" w:sz="6" w:space="0" w:color="000000"/>
              <w:left w:val="single" w:sz="6" w:space="0" w:color="000000"/>
              <w:bottom w:val="single" w:sz="6" w:space="0" w:color="000000"/>
              <w:right w:val="single" w:sz="6" w:space="0" w:color="000000"/>
            </w:tcBorders>
            <w:vAlign w:val="center"/>
          </w:tcPr>
          <w:p w14:paraId="46FC3772" w14:textId="77777777" w:rsidR="00FC2706" w:rsidRPr="00C57832" w:rsidRDefault="00FC2706" w:rsidP="00FC2706">
            <w:pPr>
              <w:tabs>
                <w:tab w:val="left" w:pos="3540"/>
                <w:tab w:val="left" w:pos="4248"/>
                <w:tab w:val="left" w:pos="4956"/>
                <w:tab w:val="left" w:pos="5664"/>
                <w:tab w:val="left" w:pos="6372"/>
                <w:tab w:val="left" w:pos="7080"/>
                <w:tab w:val="left" w:pos="7788"/>
              </w:tabs>
              <w:spacing w:after="58"/>
              <w:jc w:val="center"/>
              <w:rPr>
                <w:rFonts w:eastAsia="Times New Roman"/>
                <w:color w:val="000000"/>
                <w:sz w:val="16"/>
                <w:szCs w:val="16"/>
                <w:lang w:val="fr-BE" w:eastAsia="nl-NL"/>
              </w:rPr>
            </w:pPr>
            <w:r w:rsidRPr="00C57832">
              <w:rPr>
                <w:rFonts w:eastAsia="Times New Roman"/>
                <w:color w:val="000000"/>
                <w:sz w:val="16"/>
                <w:szCs w:val="16"/>
                <w:lang w:val="fr-BE" w:eastAsia="nl-NL"/>
              </w:rPr>
              <w:t>…………………</w:t>
            </w:r>
          </w:p>
        </w:tc>
      </w:tr>
    </w:tbl>
    <w:p w14:paraId="17B313E8" w14:textId="431BAAC4" w:rsidR="00FC2706" w:rsidRPr="00C57832" w:rsidRDefault="00FC2706" w:rsidP="00FC2706">
      <w:pPr>
        <w:tabs>
          <w:tab w:val="left" w:pos="3540"/>
          <w:tab w:val="left" w:pos="4248"/>
          <w:tab w:val="left" w:pos="4956"/>
          <w:tab w:val="left" w:pos="5664"/>
          <w:tab w:val="left" w:pos="6372"/>
          <w:tab w:val="left" w:pos="7080"/>
          <w:tab w:val="left" w:pos="7788"/>
        </w:tabs>
        <w:jc w:val="both"/>
        <w:rPr>
          <w:szCs w:val="18"/>
          <w:lang w:val="fr-BE"/>
        </w:rPr>
      </w:pPr>
      <w:r w:rsidRPr="00C57832">
        <w:rPr>
          <w:color w:val="000000"/>
          <w:szCs w:val="18"/>
          <w:lang w:val="fr-BE"/>
        </w:rPr>
        <w:t>*</w:t>
      </w:r>
      <w:r w:rsidRPr="00C57832">
        <w:rPr>
          <w:szCs w:val="18"/>
          <w:lang w:val="fr-BE"/>
        </w:rPr>
        <w:t xml:space="preserve"> Il s’agit de la distance moyenne pondérée par la route pour la livraison du </w:t>
      </w:r>
      <w:r w:rsidR="006B012D" w:rsidRPr="00C57832">
        <w:rPr>
          <w:szCs w:val="18"/>
          <w:lang w:val="fr-BE"/>
        </w:rPr>
        <w:t>PMC</w:t>
      </w:r>
      <w:r w:rsidRPr="00C57832">
        <w:rPr>
          <w:szCs w:val="18"/>
          <w:lang w:val="fr-BE"/>
        </w:rPr>
        <w:t xml:space="preserve"> au lieu de livraison pour toutes les intercommunales en Belgique en 2018.</w:t>
      </w:r>
      <w:r w:rsidRPr="00C57832">
        <w:rPr>
          <w:rStyle w:val="Appelnotedebasdep"/>
          <w:szCs w:val="18"/>
          <w:lang w:val="fr-BE"/>
        </w:rPr>
        <w:footnoteReference w:id="24"/>
      </w:r>
    </w:p>
    <w:p w14:paraId="397C7FC3" w14:textId="4513B672" w:rsidR="006B4934" w:rsidRPr="00C57832" w:rsidRDefault="006B4934">
      <w:pPr>
        <w:rPr>
          <w:lang w:val="fr-BE"/>
        </w:rPr>
      </w:pPr>
      <w:r w:rsidRPr="00C57832">
        <w:rPr>
          <w:lang w:val="fr-BE"/>
        </w:rPr>
        <w:t>Fait à : ……………………………………………………………………</w:t>
      </w:r>
      <w:r w:rsidR="00393880" w:rsidRPr="00C57832">
        <w:rPr>
          <w:lang w:val="fr-BE"/>
        </w:rPr>
        <w:t>,</w:t>
      </w:r>
      <w:r w:rsidRPr="00C57832">
        <w:rPr>
          <w:lang w:val="fr-BE"/>
        </w:rPr>
        <w:t xml:space="preserve"> le …………………………………………………………</w:t>
      </w:r>
    </w:p>
    <w:p w14:paraId="397C7FC5" w14:textId="204B016B" w:rsidR="006B4934" w:rsidRPr="00C57832" w:rsidRDefault="006B4934">
      <w:pPr>
        <w:rPr>
          <w:lang w:val="fr-BE"/>
        </w:rPr>
      </w:pPr>
      <w:r w:rsidRPr="00C57832">
        <w:rPr>
          <w:lang w:val="fr-BE"/>
        </w:rPr>
        <w:t>Nom : ………………………………………………………………………</w:t>
      </w:r>
    </w:p>
    <w:p w14:paraId="279F0C92" w14:textId="77777777" w:rsidR="001E432F" w:rsidRPr="00C57832" w:rsidRDefault="001E432F">
      <w:pPr>
        <w:rPr>
          <w:lang w:val="fr-BE"/>
        </w:rPr>
      </w:pPr>
    </w:p>
    <w:p w14:paraId="397C7FC6" w14:textId="6E6158F8" w:rsidR="006B4934" w:rsidRPr="00C57832" w:rsidRDefault="006B4934">
      <w:pPr>
        <w:rPr>
          <w:lang w:val="fr-BE"/>
        </w:rPr>
      </w:pPr>
      <w:r w:rsidRPr="00C57832">
        <w:rPr>
          <w:lang w:val="fr-BE"/>
        </w:rPr>
        <w:lastRenderedPageBreak/>
        <w:t>Fonction</w:t>
      </w:r>
      <w:proofErr w:type="gramStart"/>
      <w:r w:rsidRPr="00C57832">
        <w:rPr>
          <w:lang w:val="fr-BE"/>
        </w:rPr>
        <w:t xml:space="preserve"> :…</w:t>
      </w:r>
      <w:proofErr w:type="gramEnd"/>
      <w:r w:rsidRPr="00C57832">
        <w:rPr>
          <w:lang w:val="fr-BE"/>
        </w:rPr>
        <w:t>………………………………………………………………</w:t>
      </w:r>
    </w:p>
    <w:p w14:paraId="397C7FC7" w14:textId="75A70174" w:rsidR="006B4934" w:rsidRPr="00C57832" w:rsidRDefault="006B4934">
      <w:pPr>
        <w:rPr>
          <w:lang w:val="fr-BE"/>
        </w:rPr>
      </w:pPr>
    </w:p>
    <w:p w14:paraId="397C7FC9" w14:textId="77777777" w:rsidR="006B4934" w:rsidRPr="00C57832" w:rsidRDefault="006B4934">
      <w:pPr>
        <w:rPr>
          <w:lang w:val="fr-BE"/>
        </w:rPr>
      </w:pPr>
      <w:r w:rsidRPr="00C57832">
        <w:rPr>
          <w:lang w:val="fr-BE"/>
        </w:rPr>
        <w:t>Signature et cachet de la société :</w:t>
      </w:r>
    </w:p>
    <w:p w14:paraId="4014976A" w14:textId="77777777" w:rsidR="00C940A4" w:rsidRPr="00C57832" w:rsidRDefault="00C940A4" w:rsidP="00C940A4">
      <w:pPr>
        <w:spacing w:after="0" w:line="240" w:lineRule="auto"/>
        <w:rPr>
          <w:szCs w:val="18"/>
          <w:lang w:val="fr-BE"/>
        </w:rPr>
      </w:pPr>
      <w:r w:rsidRPr="00C57832">
        <w:rPr>
          <w:szCs w:val="18"/>
          <w:lang w:val="fr-BE"/>
        </w:rPr>
        <w:br w:type="page"/>
      </w:r>
    </w:p>
    <w:p w14:paraId="71018D61" w14:textId="616393C4" w:rsidR="00C940A4" w:rsidRPr="00C57832" w:rsidRDefault="00C940A4" w:rsidP="00C940A4">
      <w:pPr>
        <w:pBdr>
          <w:top w:val="single" w:sz="4" w:space="0" w:color="auto"/>
          <w:left w:val="single" w:sz="4" w:space="4" w:color="auto"/>
          <w:bottom w:val="single" w:sz="4" w:space="1" w:color="auto"/>
          <w:right w:val="single" w:sz="4" w:space="4" w:color="auto"/>
        </w:pBdr>
        <w:jc w:val="both"/>
        <w:rPr>
          <w:b/>
          <w:color w:val="000000"/>
          <w:szCs w:val="18"/>
          <w:lang w:val="fr-BE"/>
        </w:rPr>
      </w:pPr>
      <w:r w:rsidRPr="00C57832">
        <w:rPr>
          <w:b/>
          <w:color w:val="000000"/>
          <w:szCs w:val="18"/>
          <w:lang w:val="fr-BE"/>
        </w:rPr>
        <w:lastRenderedPageBreak/>
        <w:t xml:space="preserve">Lot 1 + Lot </w:t>
      </w:r>
      <w:proofErr w:type="gramStart"/>
      <w:r w:rsidRPr="00C57832">
        <w:rPr>
          <w:b/>
          <w:color w:val="000000"/>
          <w:szCs w:val="18"/>
          <w:lang w:val="fr-BE"/>
        </w:rPr>
        <w:t>2:</w:t>
      </w:r>
      <w:proofErr w:type="gramEnd"/>
      <w:r w:rsidRPr="00C57832">
        <w:rPr>
          <w:b/>
          <w:color w:val="000000"/>
          <w:szCs w:val="18"/>
          <w:lang w:val="fr-BE"/>
        </w:rPr>
        <w:t xml:space="preserve"> </w:t>
      </w:r>
      <w:r w:rsidRPr="00C57832">
        <w:rPr>
          <w:rFonts w:eastAsia="Times New Roman"/>
          <w:b/>
          <w:color w:val="000000"/>
          <w:szCs w:val="18"/>
          <w:lang w:val="fr-BE" w:eastAsia="nl-NL"/>
        </w:rPr>
        <w:t>Collecte du PMC en porte-à-porte</w:t>
      </w:r>
      <w:r w:rsidRPr="00C57832">
        <w:rPr>
          <w:b/>
          <w:color w:val="000000"/>
          <w:szCs w:val="18"/>
          <w:lang w:val="fr-BE"/>
        </w:rPr>
        <w:t xml:space="preserve"> + </w:t>
      </w:r>
      <w:r w:rsidRPr="00C57832">
        <w:rPr>
          <w:rFonts w:eastAsia="Times New Roman"/>
          <w:b/>
          <w:color w:val="000000"/>
          <w:szCs w:val="18"/>
          <w:lang w:val="fr-BE" w:eastAsia="nl-NL"/>
        </w:rPr>
        <w:t xml:space="preserve">collecte du PMC dans les </w:t>
      </w:r>
      <w:proofErr w:type="spellStart"/>
      <w:r w:rsidR="00872188" w:rsidRPr="00C57832">
        <w:rPr>
          <w:rFonts w:eastAsia="Times New Roman"/>
          <w:b/>
          <w:color w:val="000000"/>
          <w:szCs w:val="18"/>
          <w:lang w:val="fr-BE" w:eastAsia="nl-NL"/>
        </w:rPr>
        <w:t>recyparcs</w:t>
      </w:r>
      <w:proofErr w:type="spellEnd"/>
    </w:p>
    <w:p w14:paraId="6399B434" w14:textId="77777777" w:rsidR="00C940A4" w:rsidRPr="00C57832" w:rsidRDefault="00C940A4" w:rsidP="00C940A4">
      <w:pPr>
        <w:rPr>
          <w:lang w:val="fr-BE"/>
        </w:rPr>
      </w:pPr>
    </w:p>
    <w:p w14:paraId="536BEF0F" w14:textId="2D74AA16" w:rsidR="007C53DA" w:rsidRPr="00C57832" w:rsidRDefault="007C53DA" w:rsidP="00C940A4">
      <w:pPr>
        <w:rPr>
          <w:u w:val="single"/>
          <w:lang w:val="fr-BE"/>
        </w:rPr>
      </w:pPr>
      <w:r w:rsidRPr="00C57832">
        <w:rPr>
          <w:u w:val="single"/>
          <w:lang w:val="fr-BE"/>
        </w:rPr>
        <w:t>Rabais sur les prix en cas de réunions de plusieurs lots</w:t>
      </w:r>
      <w:r w:rsidR="00C940A4" w:rsidRPr="00C57832">
        <w:rPr>
          <w:u w:val="single"/>
          <w:lang w:val="fr-BE"/>
        </w:rPr>
        <w:t xml:space="preserve">. </w:t>
      </w:r>
    </w:p>
    <w:p w14:paraId="1AA3135F" w14:textId="0A0F74D7" w:rsidR="00C940A4" w:rsidRPr="00C57832" w:rsidRDefault="007C53DA" w:rsidP="00C940A4">
      <w:pPr>
        <w:rPr>
          <w:lang w:val="fr-BE"/>
        </w:rPr>
      </w:pPr>
      <w:r w:rsidRPr="00C57832">
        <w:rPr>
          <w:lang w:val="fr-BE"/>
        </w:rPr>
        <w:t>Le soumissionnaire indique clairement quel rabais il propose</w:t>
      </w:r>
      <w:r w:rsidR="001A1366" w:rsidRPr="00C57832">
        <w:rPr>
          <w:lang w:val="fr-BE"/>
        </w:rPr>
        <w:t xml:space="preserve"> (sur les prix unitaires ou sur le prix total)</w:t>
      </w:r>
      <w:r w:rsidRPr="00C57832">
        <w:rPr>
          <w:lang w:val="fr-BE"/>
        </w:rPr>
        <w:t xml:space="preserve"> et</w:t>
      </w:r>
      <w:r w:rsidR="001A1366" w:rsidRPr="00C57832">
        <w:rPr>
          <w:lang w:val="fr-BE"/>
        </w:rPr>
        <w:t>/ou</w:t>
      </w:r>
      <w:r w:rsidRPr="00C57832">
        <w:rPr>
          <w:lang w:val="fr-BE"/>
        </w:rPr>
        <w:t xml:space="preserve"> pour quels poste</w:t>
      </w:r>
      <w:r w:rsidR="001A1366" w:rsidRPr="00C57832">
        <w:rPr>
          <w:lang w:val="fr-BE"/>
        </w:rPr>
        <w:t>s ces rabais sont d’application</w:t>
      </w:r>
      <w:r w:rsidR="00C940A4" w:rsidRPr="00C57832">
        <w:rPr>
          <w:rStyle w:val="Appelnotedebasdep"/>
          <w:lang w:val="fr-BE"/>
        </w:rPr>
        <w:footnoteReference w:id="25"/>
      </w:r>
      <w:r w:rsidR="00C940A4" w:rsidRPr="00C57832">
        <w:rPr>
          <w:lang w:val="fr-BE"/>
        </w:rPr>
        <w:t xml:space="preserve">. </w:t>
      </w:r>
    </w:p>
    <w:p w14:paraId="7D2AED3D" w14:textId="77777777" w:rsidR="00C940A4" w:rsidRPr="00C57832" w:rsidRDefault="00C940A4" w:rsidP="00C940A4">
      <w:pPr>
        <w:rPr>
          <w:lang w:val="fr-BE"/>
        </w:rPr>
      </w:pPr>
      <w:r w:rsidRPr="00C57832">
        <w:rPr>
          <w:lang w:val="fr-BE"/>
        </w:rPr>
        <w:t>………………………………………………………………………………………………………………………………………………………………….</w:t>
      </w:r>
    </w:p>
    <w:p w14:paraId="72DC332B" w14:textId="77777777" w:rsidR="00C940A4" w:rsidRPr="00C57832" w:rsidRDefault="00C940A4" w:rsidP="00C940A4">
      <w:pPr>
        <w:rPr>
          <w:lang w:val="fr-BE"/>
        </w:rPr>
      </w:pPr>
      <w:r w:rsidRPr="00C57832">
        <w:rPr>
          <w:lang w:val="fr-BE"/>
        </w:rPr>
        <w:t>………………………………………………………………………………………………………………………………………………………………….</w:t>
      </w:r>
    </w:p>
    <w:p w14:paraId="04A3FC20" w14:textId="77777777" w:rsidR="00C940A4" w:rsidRPr="00C57832" w:rsidRDefault="00C940A4" w:rsidP="00C940A4">
      <w:pPr>
        <w:rPr>
          <w:lang w:val="fr-BE"/>
        </w:rPr>
      </w:pPr>
      <w:r w:rsidRPr="00C57832">
        <w:rPr>
          <w:lang w:val="fr-BE"/>
        </w:rPr>
        <w:t>………………………………………………………………………………………………………………………………………………………………….</w:t>
      </w:r>
    </w:p>
    <w:p w14:paraId="220C02B6" w14:textId="77777777" w:rsidR="00C940A4" w:rsidRPr="00C57832" w:rsidRDefault="00C940A4" w:rsidP="00C940A4">
      <w:pPr>
        <w:rPr>
          <w:lang w:val="fr-BE"/>
        </w:rPr>
      </w:pPr>
      <w:r w:rsidRPr="00C57832">
        <w:rPr>
          <w:lang w:val="fr-BE"/>
        </w:rPr>
        <w:t>………………………………………………………………………………………………………………………………………………………………….</w:t>
      </w:r>
    </w:p>
    <w:p w14:paraId="41D0C49A" w14:textId="77777777" w:rsidR="00C940A4" w:rsidRPr="00C57832" w:rsidRDefault="00C940A4" w:rsidP="00C940A4">
      <w:pPr>
        <w:rPr>
          <w:lang w:val="fr-BE"/>
        </w:rPr>
      </w:pPr>
      <w:r w:rsidRPr="00C57832">
        <w:rPr>
          <w:lang w:val="fr-BE"/>
        </w:rPr>
        <w:t>………………………………………………………………………………………………………………………………………………………………….</w:t>
      </w:r>
    </w:p>
    <w:p w14:paraId="0113228A" w14:textId="77777777" w:rsidR="00C940A4" w:rsidRPr="00C57832" w:rsidRDefault="00C940A4" w:rsidP="00C940A4">
      <w:pPr>
        <w:rPr>
          <w:lang w:val="fr-BE"/>
        </w:rPr>
      </w:pPr>
      <w:r w:rsidRPr="00C57832">
        <w:rPr>
          <w:lang w:val="fr-BE"/>
        </w:rPr>
        <w:t>………………………………………………………………………………………………………………………………………………………………….</w:t>
      </w:r>
    </w:p>
    <w:p w14:paraId="5620AC66" w14:textId="77777777" w:rsidR="00C940A4" w:rsidRPr="00C57832" w:rsidRDefault="00C940A4" w:rsidP="00C940A4">
      <w:pPr>
        <w:rPr>
          <w:lang w:val="fr-BE"/>
        </w:rPr>
      </w:pPr>
    </w:p>
    <w:p w14:paraId="1FD0A76E" w14:textId="77777777" w:rsidR="00C940A4" w:rsidRPr="00C57832" w:rsidRDefault="00C940A4" w:rsidP="00C940A4">
      <w:pPr>
        <w:rPr>
          <w:lang w:val="fr-BE"/>
        </w:rPr>
      </w:pPr>
      <w:r w:rsidRPr="00C57832">
        <w:rPr>
          <w:lang w:val="fr-BE"/>
        </w:rPr>
        <w:t>Fait à : ……………………………………………………………………, le …………………………………………………………</w:t>
      </w:r>
    </w:p>
    <w:p w14:paraId="22B3DBA3" w14:textId="77777777" w:rsidR="00C940A4" w:rsidRPr="00C57832" w:rsidRDefault="00C940A4" w:rsidP="00C940A4">
      <w:pPr>
        <w:rPr>
          <w:lang w:val="fr-BE"/>
        </w:rPr>
      </w:pPr>
      <w:r w:rsidRPr="00C57832">
        <w:rPr>
          <w:lang w:val="fr-BE"/>
        </w:rPr>
        <w:t>Nom : ………………………………………………………………………</w:t>
      </w:r>
    </w:p>
    <w:p w14:paraId="68FDCA4A" w14:textId="77777777" w:rsidR="00C940A4" w:rsidRPr="00C57832" w:rsidRDefault="00C940A4" w:rsidP="00C940A4">
      <w:pPr>
        <w:rPr>
          <w:lang w:val="fr-BE"/>
        </w:rPr>
      </w:pPr>
      <w:r w:rsidRPr="00C57832">
        <w:rPr>
          <w:lang w:val="fr-BE"/>
        </w:rPr>
        <w:t>Fonction</w:t>
      </w:r>
      <w:proofErr w:type="gramStart"/>
      <w:r w:rsidRPr="00C57832">
        <w:rPr>
          <w:lang w:val="fr-BE"/>
        </w:rPr>
        <w:t xml:space="preserve"> :…</w:t>
      </w:r>
      <w:proofErr w:type="gramEnd"/>
      <w:r w:rsidRPr="00C57832">
        <w:rPr>
          <w:lang w:val="fr-BE"/>
        </w:rPr>
        <w:t>………………………………………………………………</w:t>
      </w:r>
    </w:p>
    <w:p w14:paraId="6B465D0F" w14:textId="77777777" w:rsidR="00C940A4" w:rsidRPr="00C57832" w:rsidRDefault="00C940A4" w:rsidP="00C940A4">
      <w:pPr>
        <w:rPr>
          <w:lang w:val="fr-BE"/>
        </w:rPr>
      </w:pPr>
    </w:p>
    <w:p w14:paraId="056D0309" w14:textId="77777777" w:rsidR="00C940A4" w:rsidRPr="00C57832" w:rsidRDefault="00C940A4" w:rsidP="00C940A4">
      <w:pPr>
        <w:rPr>
          <w:lang w:val="fr-BE"/>
        </w:rPr>
      </w:pPr>
    </w:p>
    <w:p w14:paraId="421A2A0A" w14:textId="77777777" w:rsidR="00C940A4" w:rsidRPr="00C57832" w:rsidRDefault="00C940A4" w:rsidP="00C940A4">
      <w:pPr>
        <w:rPr>
          <w:lang w:val="fr-BE"/>
        </w:rPr>
      </w:pPr>
      <w:r w:rsidRPr="00C57832">
        <w:rPr>
          <w:lang w:val="fr-BE"/>
        </w:rPr>
        <w:t>Signature et cachet de la société :</w:t>
      </w:r>
    </w:p>
    <w:p w14:paraId="522F5274" w14:textId="77777777" w:rsidR="00C940A4" w:rsidRPr="00C57832" w:rsidRDefault="00C940A4" w:rsidP="00C940A4">
      <w:pPr>
        <w:tabs>
          <w:tab w:val="left" w:pos="1440"/>
          <w:tab w:val="right" w:pos="8820"/>
        </w:tabs>
        <w:rPr>
          <w:szCs w:val="18"/>
          <w:lang w:val="fr-BE"/>
        </w:rPr>
      </w:pPr>
    </w:p>
    <w:p w14:paraId="397C7FCA" w14:textId="77777777" w:rsidR="006B4934" w:rsidRPr="00C57832" w:rsidRDefault="006B4934">
      <w:pPr>
        <w:rPr>
          <w:lang w:val="fr-BE"/>
        </w:rPr>
        <w:sectPr w:rsidR="006B4934" w:rsidRPr="00C57832" w:rsidSect="001E432F">
          <w:pgSz w:w="16838" w:h="11906" w:orient="landscape" w:code="9"/>
          <w:pgMar w:top="1418" w:right="1418" w:bottom="1418" w:left="1418" w:header="709" w:footer="709" w:gutter="0"/>
          <w:cols w:space="708"/>
          <w:docGrid w:linePitch="360"/>
        </w:sectPr>
      </w:pPr>
    </w:p>
    <w:p w14:paraId="397C7FCB" w14:textId="37F2F5C9" w:rsidR="006B4934" w:rsidRPr="00C57832" w:rsidRDefault="006B4934" w:rsidP="00FF67A6">
      <w:pPr>
        <w:pStyle w:val="Titre2"/>
        <w:rPr>
          <w:lang w:val="fr-BE"/>
        </w:rPr>
      </w:pPr>
      <w:bookmarkStart w:id="203" w:name="_Toc200945540"/>
      <w:bookmarkStart w:id="204" w:name="_Toc201025171"/>
      <w:bookmarkStart w:id="205" w:name="_Toc201587478"/>
      <w:bookmarkStart w:id="206" w:name="_Toc513197785"/>
      <w:r w:rsidRPr="00C57832">
        <w:rPr>
          <w:lang w:val="fr-BE"/>
        </w:rPr>
        <w:lastRenderedPageBreak/>
        <w:t xml:space="preserve">Annexe C : Communes qui participent à ce </w:t>
      </w:r>
      <w:r w:rsidR="005E5746" w:rsidRPr="00C57832">
        <w:rPr>
          <w:lang w:val="fr-BE"/>
        </w:rPr>
        <w:t>Marché</w:t>
      </w:r>
      <w:r w:rsidRPr="00C57832">
        <w:rPr>
          <w:lang w:val="fr-BE"/>
        </w:rPr>
        <w:t xml:space="preserve"> + type de conteneurs utilisés + quantités estimées</w:t>
      </w:r>
      <w:bookmarkEnd w:id="203"/>
      <w:bookmarkEnd w:id="204"/>
      <w:bookmarkEnd w:id="205"/>
      <w:bookmarkEnd w:id="206"/>
    </w:p>
    <w:p w14:paraId="397C7FCC" w14:textId="77777777" w:rsidR="006B4934" w:rsidRPr="00C57832" w:rsidRDefault="006B4934">
      <w:pPr>
        <w:rPr>
          <w:lang w:val="fr-BE"/>
        </w:rPr>
      </w:pPr>
    </w:p>
    <w:p w14:paraId="397C7FCD" w14:textId="77777777" w:rsidR="006B4934" w:rsidRPr="00C57832" w:rsidRDefault="006B4934">
      <w:pPr>
        <w:rPr>
          <w:rFonts w:eastAsia="Times New Roman"/>
          <w:lang w:val="fr-BE" w:eastAsia="nl-NL"/>
        </w:rPr>
      </w:pPr>
      <w:r w:rsidRPr="00C57832">
        <w:rPr>
          <w:rFonts w:eastAsia="Times New Roman"/>
          <w:lang w:val="fr-BE" w:eastAsia="nl-NL"/>
        </w:rPr>
        <w:t xml:space="preserve">Toutes les données et quantités reprises dans cette annexe concernent la situation actuelle au </w:t>
      </w:r>
      <w:r w:rsidR="00306B75" w:rsidRPr="00C57832">
        <w:rPr>
          <w:szCs w:val="18"/>
          <w:lang w:val="fr-BE"/>
        </w:rPr>
        <w:fldChar w:fldCharType="begin">
          <w:ffData>
            <w:name w:val=""/>
            <w:enabled/>
            <w:calcOnExit w:val="0"/>
            <w:textInput>
              <w:default w:val="&lt;indiquer la date considérée&gt;"/>
            </w:textInput>
          </w:ffData>
        </w:fldChar>
      </w:r>
      <w:r w:rsidR="006F32FF"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006F32FF" w:rsidRPr="00C57832">
        <w:rPr>
          <w:szCs w:val="18"/>
          <w:lang w:val="fr-BE"/>
        </w:rPr>
        <w:t>&lt;indiquer la date considérée&gt;</w:t>
      </w:r>
      <w:r w:rsidR="00306B75" w:rsidRPr="00C57832">
        <w:rPr>
          <w:szCs w:val="18"/>
          <w:lang w:val="fr-BE"/>
        </w:rPr>
        <w:fldChar w:fldCharType="end"/>
      </w:r>
      <w:r w:rsidRPr="00C57832">
        <w:rPr>
          <w:rFonts w:eastAsia="Times New Roman"/>
          <w:lang w:val="fr-BE" w:eastAsia="nl-NL"/>
        </w:rPr>
        <w:t xml:space="preserve">. Ces quantités et ces données sont </w:t>
      </w:r>
      <w:r w:rsidR="00634543" w:rsidRPr="00C57832">
        <w:rPr>
          <w:rFonts w:eastAsia="Times New Roman"/>
          <w:lang w:val="fr-BE" w:eastAsia="nl-NL"/>
        </w:rPr>
        <w:t xml:space="preserve">données à titre indicatif </w:t>
      </w:r>
      <w:r w:rsidRPr="00C57832">
        <w:rPr>
          <w:rFonts w:eastAsia="Times New Roman"/>
          <w:lang w:val="fr-BE" w:eastAsia="nl-NL"/>
        </w:rPr>
        <w:t xml:space="preserve">et n'impliquent aucun engagement du pouvoir adjudicateur. Nonobstant ce fait, la comparaison des différentes offres quant au critère d'attribution ‘prix de la prestation de services’ se fera sur la base de ces quantités. </w:t>
      </w:r>
    </w:p>
    <w:tbl>
      <w:tblPr>
        <w:tblW w:w="9580" w:type="dxa"/>
        <w:tblInd w:w="120" w:type="dxa"/>
        <w:tblLayout w:type="fixed"/>
        <w:tblCellMar>
          <w:left w:w="120" w:type="dxa"/>
          <w:right w:w="120" w:type="dxa"/>
        </w:tblCellMar>
        <w:tblLook w:val="0000" w:firstRow="0" w:lastRow="0" w:firstColumn="0" w:lastColumn="0" w:noHBand="0" w:noVBand="0"/>
      </w:tblPr>
      <w:tblGrid>
        <w:gridCol w:w="1440"/>
        <w:gridCol w:w="1254"/>
        <w:gridCol w:w="1620"/>
        <w:gridCol w:w="1357"/>
        <w:gridCol w:w="1357"/>
        <w:gridCol w:w="1276"/>
        <w:gridCol w:w="1276"/>
      </w:tblGrid>
      <w:tr w:rsidR="009C5DD5" w:rsidRPr="007174D8" w14:paraId="397C7FD5" w14:textId="77777777" w:rsidTr="009D5CAA">
        <w:trPr>
          <w:cantSplit/>
          <w:trHeight w:val="1634"/>
        </w:trPr>
        <w:tc>
          <w:tcPr>
            <w:tcW w:w="1440" w:type="dxa"/>
            <w:tcBorders>
              <w:top w:val="single" w:sz="8" w:space="0" w:color="000000"/>
              <w:left w:val="single" w:sz="8" w:space="0" w:color="000000"/>
              <w:right w:val="single" w:sz="8" w:space="0" w:color="000000"/>
            </w:tcBorders>
            <w:shd w:val="clear" w:color="auto" w:fill="E0E0E0"/>
            <w:vAlign w:val="center"/>
          </w:tcPr>
          <w:p w14:paraId="397C7FCE" w14:textId="77777777" w:rsidR="009C5DD5" w:rsidRPr="00C57832" w:rsidRDefault="009C5DD5" w:rsidP="007B25E5">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lang w:val="fr-BE"/>
              </w:rPr>
            </w:pPr>
            <w:r w:rsidRPr="00C57832">
              <w:rPr>
                <w:szCs w:val="18"/>
                <w:lang w:val="fr-BE"/>
              </w:rPr>
              <w:t>Commune</w:t>
            </w:r>
          </w:p>
        </w:tc>
        <w:tc>
          <w:tcPr>
            <w:tcW w:w="1254" w:type="dxa"/>
            <w:tcBorders>
              <w:top w:val="single" w:sz="8" w:space="0" w:color="000000"/>
              <w:left w:val="single" w:sz="8" w:space="0" w:color="000000"/>
              <w:right w:val="single" w:sz="8" w:space="0" w:color="000000"/>
            </w:tcBorders>
            <w:shd w:val="clear" w:color="auto" w:fill="E0E0E0"/>
            <w:vAlign w:val="center"/>
          </w:tcPr>
          <w:p w14:paraId="397C7FCF" w14:textId="77777777" w:rsidR="009C5DD5" w:rsidRPr="00C57832" w:rsidRDefault="009C5DD5" w:rsidP="007B25E5">
            <w:pPr>
              <w:pStyle w:val="Notedebasdepag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sz w:val="18"/>
                <w:lang w:val="fr-BE"/>
              </w:rPr>
            </w:pPr>
            <w:r w:rsidRPr="00C57832">
              <w:rPr>
                <w:sz w:val="18"/>
                <w:szCs w:val="18"/>
                <w:lang w:val="fr-BE"/>
              </w:rPr>
              <w:t>Nombre d’habitants</w:t>
            </w:r>
          </w:p>
        </w:tc>
        <w:tc>
          <w:tcPr>
            <w:tcW w:w="1620" w:type="dxa"/>
            <w:tcBorders>
              <w:top w:val="single" w:sz="8" w:space="0" w:color="000000"/>
              <w:left w:val="single" w:sz="8" w:space="0" w:color="000000"/>
              <w:right w:val="single" w:sz="8" w:space="0" w:color="000000"/>
            </w:tcBorders>
            <w:shd w:val="clear" w:color="auto" w:fill="E0E0E0"/>
            <w:vAlign w:val="center"/>
          </w:tcPr>
          <w:p w14:paraId="144FDAAD" w14:textId="1CB522C7" w:rsidR="009C5DD5" w:rsidRPr="00C57832" w:rsidRDefault="009C5DD5" w:rsidP="007B25E5">
            <w:pPr>
              <w:jc w:val="center"/>
              <w:rPr>
                <w:lang w:val="fr-BE"/>
              </w:rPr>
            </w:pPr>
            <w:r w:rsidRPr="00C57832">
              <w:rPr>
                <w:lang w:val="fr-BE"/>
              </w:rPr>
              <w:t>Nombre de conteneurs 1100l utilisés par les écoles ou d’autres points de collecte groupés</w:t>
            </w:r>
          </w:p>
        </w:tc>
        <w:tc>
          <w:tcPr>
            <w:tcW w:w="1357" w:type="dxa"/>
            <w:tcBorders>
              <w:top w:val="single" w:sz="8" w:space="0" w:color="000000"/>
              <w:left w:val="single" w:sz="8" w:space="0" w:color="000000"/>
              <w:right w:val="single" w:sz="8" w:space="0" w:color="000000"/>
            </w:tcBorders>
            <w:shd w:val="clear" w:color="auto" w:fill="E0E0E0"/>
            <w:vAlign w:val="center"/>
          </w:tcPr>
          <w:p w14:paraId="327EECB3" w14:textId="59E583B6" w:rsidR="009C5DD5" w:rsidRPr="00C57832" w:rsidRDefault="00872188" w:rsidP="009D5CAA">
            <w:pPr>
              <w:jc w:val="center"/>
              <w:rPr>
                <w:lang w:val="fr-BE"/>
              </w:rPr>
            </w:pPr>
            <w:proofErr w:type="spellStart"/>
            <w:r w:rsidRPr="00C57832">
              <w:rPr>
                <w:lang w:val="fr-BE"/>
              </w:rPr>
              <w:t>Recyparc</w:t>
            </w:r>
            <w:proofErr w:type="spellEnd"/>
            <w:r w:rsidR="009C5DD5" w:rsidRPr="00C57832">
              <w:rPr>
                <w:lang w:val="fr-BE"/>
              </w:rPr>
              <w:t xml:space="preserve"> (O/N)</w:t>
            </w:r>
          </w:p>
          <w:p w14:paraId="7663A79A" w14:textId="77777777" w:rsidR="009C5DD5" w:rsidRPr="00C57832" w:rsidRDefault="009C5DD5" w:rsidP="007B25E5">
            <w:pPr>
              <w:jc w:val="center"/>
              <w:rPr>
                <w:lang w:val="fr-BE"/>
              </w:rPr>
            </w:pPr>
          </w:p>
        </w:tc>
        <w:tc>
          <w:tcPr>
            <w:tcW w:w="1357" w:type="dxa"/>
            <w:tcBorders>
              <w:top w:val="single" w:sz="8" w:space="0" w:color="000000"/>
              <w:left w:val="single" w:sz="8" w:space="0" w:color="000000"/>
              <w:right w:val="single" w:sz="8" w:space="0" w:color="000000"/>
            </w:tcBorders>
            <w:shd w:val="clear" w:color="auto" w:fill="E0E0E0"/>
            <w:vAlign w:val="center"/>
          </w:tcPr>
          <w:p w14:paraId="65416E91" w14:textId="6D29C47C" w:rsidR="009C5DD5" w:rsidRPr="00C57832" w:rsidRDefault="009C5DD5" w:rsidP="007B25E5">
            <w:pPr>
              <w:jc w:val="center"/>
              <w:rPr>
                <w:lang w:val="fr-BE"/>
              </w:rPr>
            </w:pPr>
            <w:r w:rsidRPr="00C57832">
              <w:rPr>
                <w:lang w:val="fr-BE"/>
              </w:rPr>
              <w:t>Quantités collectées en porte-à-porte</w:t>
            </w:r>
          </w:p>
          <w:p w14:paraId="397C7FD2" w14:textId="1A3BA352" w:rsidR="009C5DD5" w:rsidRPr="00C57832" w:rsidRDefault="009C5DD5" w:rsidP="007B25E5">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lang w:val="fr-BE"/>
              </w:rPr>
            </w:pPr>
            <w:r w:rsidRPr="00C57832">
              <w:rPr>
                <w:szCs w:val="18"/>
                <w:lang w:val="fr-BE"/>
              </w:rPr>
              <w:t>(en tonnes)</w:t>
            </w:r>
          </w:p>
        </w:tc>
        <w:tc>
          <w:tcPr>
            <w:tcW w:w="1276" w:type="dxa"/>
            <w:tcBorders>
              <w:top w:val="single" w:sz="8" w:space="0" w:color="000000"/>
              <w:left w:val="single" w:sz="8" w:space="0" w:color="000000"/>
              <w:right w:val="single" w:sz="8" w:space="0" w:color="000000"/>
            </w:tcBorders>
            <w:shd w:val="clear" w:color="auto" w:fill="E0E0E0"/>
            <w:vAlign w:val="center"/>
          </w:tcPr>
          <w:p w14:paraId="2E0010A9" w14:textId="54FAC20B" w:rsidR="009C5DD5" w:rsidRPr="00C57832" w:rsidRDefault="009C5DD5" w:rsidP="007B25E5">
            <w:pPr>
              <w:jc w:val="center"/>
              <w:rPr>
                <w:lang w:val="fr-BE"/>
              </w:rPr>
            </w:pPr>
            <w:r w:rsidRPr="00C57832">
              <w:rPr>
                <w:lang w:val="fr-BE"/>
              </w:rPr>
              <w:t xml:space="preserve">Quantités collectées sur le </w:t>
            </w:r>
            <w:proofErr w:type="spellStart"/>
            <w:r w:rsidR="00872188" w:rsidRPr="00C57832">
              <w:rPr>
                <w:lang w:val="fr-BE"/>
              </w:rPr>
              <w:t>recyparc</w:t>
            </w:r>
            <w:proofErr w:type="spellEnd"/>
          </w:p>
          <w:p w14:paraId="397C7FD3" w14:textId="538BF5BD" w:rsidR="009C5DD5" w:rsidRPr="00C57832" w:rsidRDefault="009C5DD5" w:rsidP="007B25E5">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lang w:val="fr-BE"/>
              </w:rPr>
            </w:pPr>
            <w:r w:rsidRPr="00C57832">
              <w:rPr>
                <w:szCs w:val="18"/>
                <w:lang w:val="fr-BE"/>
              </w:rPr>
              <w:t>(en tonnes)</w:t>
            </w:r>
          </w:p>
        </w:tc>
        <w:tc>
          <w:tcPr>
            <w:tcW w:w="1276" w:type="dxa"/>
            <w:tcBorders>
              <w:top w:val="single" w:sz="8" w:space="0" w:color="000000"/>
              <w:left w:val="single" w:sz="8" w:space="0" w:color="000000"/>
              <w:right w:val="single" w:sz="8" w:space="0" w:color="000000"/>
            </w:tcBorders>
            <w:shd w:val="clear" w:color="auto" w:fill="E0E0E0"/>
            <w:vAlign w:val="center"/>
          </w:tcPr>
          <w:p w14:paraId="0CDCFB10" w14:textId="6246117E" w:rsidR="009C5DD5" w:rsidRPr="00C57832" w:rsidRDefault="009C5DD5" w:rsidP="007B25E5">
            <w:pPr>
              <w:jc w:val="center"/>
              <w:rPr>
                <w:lang w:val="fr-BE"/>
              </w:rPr>
            </w:pPr>
            <w:r w:rsidRPr="00C57832">
              <w:rPr>
                <w:lang w:val="fr-BE"/>
              </w:rPr>
              <w:t>Total quantités collectées</w:t>
            </w:r>
          </w:p>
          <w:p w14:paraId="397C7FD4" w14:textId="14984F2F" w:rsidR="009C5DD5" w:rsidRPr="00C57832" w:rsidRDefault="009C5DD5" w:rsidP="007B25E5">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lang w:val="fr-BE"/>
              </w:rPr>
            </w:pPr>
            <w:r w:rsidRPr="00C57832">
              <w:rPr>
                <w:szCs w:val="18"/>
                <w:lang w:val="fr-BE"/>
              </w:rPr>
              <w:t>(en tonnes)</w:t>
            </w:r>
          </w:p>
        </w:tc>
      </w:tr>
      <w:tr w:rsidR="009C5DD5" w:rsidRPr="007174D8" w14:paraId="397C7FE3" w14:textId="77777777" w:rsidTr="009D5CAA">
        <w:trPr>
          <w:trHeight w:val="397"/>
        </w:trPr>
        <w:tc>
          <w:tcPr>
            <w:tcW w:w="1440" w:type="dxa"/>
            <w:tcBorders>
              <w:top w:val="single" w:sz="8" w:space="0" w:color="000000"/>
              <w:left w:val="single" w:sz="7" w:space="0" w:color="000000"/>
              <w:bottom w:val="single" w:sz="7" w:space="0" w:color="000000"/>
              <w:right w:val="single" w:sz="7" w:space="0" w:color="000000"/>
            </w:tcBorders>
            <w:vAlign w:val="center"/>
          </w:tcPr>
          <w:p w14:paraId="397C7FDD" w14:textId="77777777" w:rsidR="009C5DD5" w:rsidRPr="00C57832" w:rsidRDefault="009C5DD5">
            <w:pPr>
              <w:jc w:val="center"/>
              <w:rPr>
                <w:lang w:val="fr-BE"/>
              </w:rPr>
            </w:pPr>
          </w:p>
        </w:tc>
        <w:tc>
          <w:tcPr>
            <w:tcW w:w="1254" w:type="dxa"/>
            <w:tcBorders>
              <w:top w:val="single" w:sz="8" w:space="0" w:color="000000"/>
              <w:left w:val="single" w:sz="7" w:space="0" w:color="000000"/>
              <w:bottom w:val="single" w:sz="7" w:space="0" w:color="000000"/>
              <w:right w:val="single" w:sz="7" w:space="0" w:color="000000"/>
            </w:tcBorders>
            <w:vAlign w:val="center"/>
          </w:tcPr>
          <w:p w14:paraId="397C7FDE" w14:textId="77777777" w:rsidR="009C5DD5" w:rsidRPr="00C57832" w:rsidRDefault="009C5DD5">
            <w:pPr>
              <w:jc w:val="center"/>
              <w:rPr>
                <w:lang w:val="fr-BE"/>
              </w:rPr>
            </w:pPr>
          </w:p>
        </w:tc>
        <w:tc>
          <w:tcPr>
            <w:tcW w:w="1620" w:type="dxa"/>
            <w:tcBorders>
              <w:top w:val="single" w:sz="8" w:space="0" w:color="000000"/>
              <w:left w:val="single" w:sz="7" w:space="0" w:color="000000"/>
              <w:bottom w:val="single" w:sz="7" w:space="0" w:color="000000"/>
              <w:right w:val="single" w:sz="7" w:space="0" w:color="000000"/>
            </w:tcBorders>
          </w:tcPr>
          <w:p w14:paraId="73A96D9D" w14:textId="77777777" w:rsidR="009C5DD5" w:rsidRPr="00C57832" w:rsidRDefault="009C5DD5">
            <w:pPr>
              <w:jc w:val="center"/>
              <w:rPr>
                <w:lang w:val="fr-BE"/>
              </w:rPr>
            </w:pPr>
          </w:p>
        </w:tc>
        <w:tc>
          <w:tcPr>
            <w:tcW w:w="1357" w:type="dxa"/>
            <w:tcBorders>
              <w:top w:val="single" w:sz="8" w:space="0" w:color="000000"/>
              <w:left w:val="single" w:sz="7" w:space="0" w:color="000000"/>
              <w:bottom w:val="single" w:sz="7" w:space="0" w:color="000000"/>
              <w:right w:val="single" w:sz="7" w:space="0" w:color="000000"/>
            </w:tcBorders>
            <w:vAlign w:val="center"/>
          </w:tcPr>
          <w:p w14:paraId="03F1092A" w14:textId="77777777" w:rsidR="009C5DD5" w:rsidRPr="00C57832" w:rsidRDefault="009C5DD5">
            <w:pPr>
              <w:jc w:val="center"/>
              <w:rPr>
                <w:lang w:val="fr-BE"/>
              </w:rPr>
            </w:pPr>
          </w:p>
        </w:tc>
        <w:tc>
          <w:tcPr>
            <w:tcW w:w="1357" w:type="dxa"/>
            <w:tcBorders>
              <w:top w:val="single" w:sz="8" w:space="0" w:color="000000"/>
              <w:left w:val="single" w:sz="7" w:space="0" w:color="000000"/>
              <w:bottom w:val="single" w:sz="7" w:space="0" w:color="000000"/>
              <w:right w:val="single" w:sz="7" w:space="0" w:color="000000"/>
            </w:tcBorders>
          </w:tcPr>
          <w:p w14:paraId="397C7FE0" w14:textId="32445EAE" w:rsidR="009C5DD5" w:rsidRPr="00C57832" w:rsidRDefault="009C5DD5">
            <w:pPr>
              <w:jc w:val="center"/>
              <w:rPr>
                <w:lang w:val="fr-BE"/>
              </w:rPr>
            </w:pPr>
          </w:p>
        </w:tc>
        <w:tc>
          <w:tcPr>
            <w:tcW w:w="1276" w:type="dxa"/>
            <w:tcBorders>
              <w:top w:val="single" w:sz="8" w:space="0" w:color="000000"/>
              <w:left w:val="single" w:sz="7" w:space="0" w:color="000000"/>
              <w:bottom w:val="single" w:sz="7" w:space="0" w:color="000000"/>
              <w:right w:val="single" w:sz="7" w:space="0" w:color="000000"/>
            </w:tcBorders>
          </w:tcPr>
          <w:p w14:paraId="397C7FE1" w14:textId="77777777" w:rsidR="009C5DD5" w:rsidRPr="00C57832" w:rsidRDefault="009C5DD5">
            <w:pPr>
              <w:jc w:val="center"/>
              <w:rPr>
                <w:lang w:val="fr-BE"/>
              </w:rPr>
            </w:pPr>
          </w:p>
        </w:tc>
        <w:tc>
          <w:tcPr>
            <w:tcW w:w="1276" w:type="dxa"/>
            <w:tcBorders>
              <w:top w:val="single" w:sz="8" w:space="0" w:color="000000"/>
              <w:left w:val="single" w:sz="7" w:space="0" w:color="000000"/>
              <w:bottom w:val="single" w:sz="7" w:space="0" w:color="000000"/>
              <w:right w:val="single" w:sz="7" w:space="0" w:color="000000"/>
            </w:tcBorders>
          </w:tcPr>
          <w:p w14:paraId="397C7FE2" w14:textId="77777777" w:rsidR="009C5DD5" w:rsidRPr="00C57832" w:rsidRDefault="009C5DD5">
            <w:pPr>
              <w:jc w:val="center"/>
              <w:rPr>
                <w:lang w:val="fr-BE"/>
              </w:rPr>
            </w:pPr>
          </w:p>
        </w:tc>
      </w:tr>
      <w:tr w:rsidR="009C5DD5" w:rsidRPr="007174D8" w14:paraId="397C7FEA" w14:textId="77777777" w:rsidTr="009D5CAA">
        <w:trPr>
          <w:trHeight w:val="397"/>
        </w:trPr>
        <w:tc>
          <w:tcPr>
            <w:tcW w:w="1440" w:type="dxa"/>
            <w:tcBorders>
              <w:top w:val="single" w:sz="7" w:space="0" w:color="000000"/>
              <w:left w:val="single" w:sz="7" w:space="0" w:color="000000"/>
              <w:bottom w:val="single" w:sz="7" w:space="0" w:color="000000"/>
              <w:right w:val="single" w:sz="7" w:space="0" w:color="000000"/>
            </w:tcBorders>
            <w:vAlign w:val="center"/>
          </w:tcPr>
          <w:p w14:paraId="397C7FE4" w14:textId="77777777" w:rsidR="009C5DD5" w:rsidRPr="00C57832" w:rsidRDefault="009C5DD5">
            <w:pPr>
              <w:jc w:val="center"/>
              <w:rPr>
                <w:lang w:val="fr-BE"/>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397C7FE5" w14:textId="77777777" w:rsidR="009C5DD5" w:rsidRPr="00C57832" w:rsidRDefault="009C5DD5">
            <w:pPr>
              <w:jc w:val="center"/>
              <w:rPr>
                <w:lang w:val="fr-BE"/>
              </w:rPr>
            </w:pPr>
          </w:p>
        </w:tc>
        <w:tc>
          <w:tcPr>
            <w:tcW w:w="1620" w:type="dxa"/>
            <w:tcBorders>
              <w:top w:val="single" w:sz="7" w:space="0" w:color="000000"/>
              <w:left w:val="single" w:sz="7" w:space="0" w:color="000000"/>
              <w:bottom w:val="single" w:sz="7" w:space="0" w:color="000000"/>
              <w:right w:val="single" w:sz="7" w:space="0" w:color="000000"/>
            </w:tcBorders>
          </w:tcPr>
          <w:p w14:paraId="2728BADA" w14:textId="77777777" w:rsidR="009C5DD5" w:rsidRPr="00C57832" w:rsidRDefault="009C5DD5">
            <w:pPr>
              <w:jc w:val="center"/>
              <w:rPr>
                <w:lang w:val="fr-BE"/>
              </w:rPr>
            </w:pPr>
          </w:p>
        </w:tc>
        <w:tc>
          <w:tcPr>
            <w:tcW w:w="1357" w:type="dxa"/>
            <w:tcBorders>
              <w:top w:val="single" w:sz="7" w:space="0" w:color="000000"/>
              <w:left w:val="single" w:sz="7" w:space="0" w:color="000000"/>
              <w:bottom w:val="single" w:sz="7" w:space="0" w:color="000000"/>
              <w:right w:val="single" w:sz="7" w:space="0" w:color="000000"/>
            </w:tcBorders>
            <w:vAlign w:val="center"/>
          </w:tcPr>
          <w:p w14:paraId="0C000A9B" w14:textId="77777777" w:rsidR="009C5DD5" w:rsidRPr="00C57832" w:rsidRDefault="009C5DD5">
            <w:pPr>
              <w:jc w:val="center"/>
              <w:rPr>
                <w:lang w:val="fr-BE"/>
              </w:rPr>
            </w:pPr>
          </w:p>
        </w:tc>
        <w:tc>
          <w:tcPr>
            <w:tcW w:w="1357" w:type="dxa"/>
            <w:tcBorders>
              <w:top w:val="single" w:sz="7" w:space="0" w:color="000000"/>
              <w:left w:val="single" w:sz="7" w:space="0" w:color="000000"/>
              <w:bottom w:val="single" w:sz="7" w:space="0" w:color="000000"/>
              <w:right w:val="single" w:sz="7" w:space="0" w:color="000000"/>
            </w:tcBorders>
          </w:tcPr>
          <w:p w14:paraId="397C7FE7" w14:textId="5D226816" w:rsidR="009C5DD5" w:rsidRPr="00C57832" w:rsidRDefault="009C5DD5">
            <w:pPr>
              <w:jc w:val="center"/>
              <w:rPr>
                <w:lang w:val="fr-BE"/>
              </w:rPr>
            </w:pPr>
          </w:p>
        </w:tc>
        <w:tc>
          <w:tcPr>
            <w:tcW w:w="1276" w:type="dxa"/>
            <w:tcBorders>
              <w:top w:val="single" w:sz="7" w:space="0" w:color="000000"/>
              <w:left w:val="single" w:sz="7" w:space="0" w:color="000000"/>
              <w:bottom w:val="single" w:sz="7" w:space="0" w:color="000000"/>
              <w:right w:val="single" w:sz="7" w:space="0" w:color="000000"/>
            </w:tcBorders>
          </w:tcPr>
          <w:p w14:paraId="397C7FE8" w14:textId="77777777" w:rsidR="009C5DD5" w:rsidRPr="00C57832" w:rsidRDefault="009C5DD5">
            <w:pPr>
              <w:jc w:val="center"/>
              <w:rPr>
                <w:lang w:val="fr-BE"/>
              </w:rPr>
            </w:pPr>
          </w:p>
        </w:tc>
        <w:tc>
          <w:tcPr>
            <w:tcW w:w="1276" w:type="dxa"/>
            <w:tcBorders>
              <w:top w:val="single" w:sz="7" w:space="0" w:color="000000"/>
              <w:left w:val="single" w:sz="7" w:space="0" w:color="000000"/>
              <w:bottom w:val="single" w:sz="7" w:space="0" w:color="000000"/>
              <w:right w:val="single" w:sz="7" w:space="0" w:color="000000"/>
            </w:tcBorders>
          </w:tcPr>
          <w:p w14:paraId="397C7FE9" w14:textId="77777777" w:rsidR="009C5DD5" w:rsidRPr="00C57832" w:rsidRDefault="009C5DD5">
            <w:pPr>
              <w:jc w:val="center"/>
              <w:rPr>
                <w:lang w:val="fr-BE"/>
              </w:rPr>
            </w:pPr>
          </w:p>
        </w:tc>
      </w:tr>
      <w:tr w:rsidR="009C5DD5" w:rsidRPr="007174D8" w14:paraId="397C7FF1" w14:textId="77777777" w:rsidTr="009D5CAA">
        <w:trPr>
          <w:trHeight w:val="397"/>
        </w:trPr>
        <w:tc>
          <w:tcPr>
            <w:tcW w:w="1440" w:type="dxa"/>
            <w:tcBorders>
              <w:top w:val="single" w:sz="7" w:space="0" w:color="000000"/>
              <w:left w:val="single" w:sz="7" w:space="0" w:color="000000"/>
              <w:bottom w:val="single" w:sz="7" w:space="0" w:color="000000"/>
              <w:right w:val="single" w:sz="7" w:space="0" w:color="000000"/>
            </w:tcBorders>
            <w:vAlign w:val="center"/>
          </w:tcPr>
          <w:p w14:paraId="397C7FEB" w14:textId="77777777" w:rsidR="009C5DD5" w:rsidRPr="00C57832" w:rsidRDefault="009C5DD5">
            <w:pPr>
              <w:jc w:val="center"/>
              <w:rPr>
                <w:lang w:val="fr-BE"/>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397C7FEC" w14:textId="77777777" w:rsidR="009C5DD5" w:rsidRPr="00C57832" w:rsidRDefault="009C5DD5">
            <w:pPr>
              <w:jc w:val="center"/>
              <w:rPr>
                <w:lang w:val="fr-BE"/>
              </w:rPr>
            </w:pPr>
          </w:p>
        </w:tc>
        <w:tc>
          <w:tcPr>
            <w:tcW w:w="1620" w:type="dxa"/>
            <w:tcBorders>
              <w:top w:val="single" w:sz="7" w:space="0" w:color="000000"/>
              <w:left w:val="single" w:sz="7" w:space="0" w:color="000000"/>
              <w:bottom w:val="single" w:sz="7" w:space="0" w:color="000000"/>
              <w:right w:val="single" w:sz="7" w:space="0" w:color="000000"/>
            </w:tcBorders>
          </w:tcPr>
          <w:p w14:paraId="6671ECF3" w14:textId="77777777" w:rsidR="009C5DD5" w:rsidRPr="00C57832" w:rsidRDefault="009C5DD5">
            <w:pPr>
              <w:jc w:val="center"/>
              <w:rPr>
                <w:lang w:val="fr-BE"/>
              </w:rPr>
            </w:pPr>
          </w:p>
        </w:tc>
        <w:tc>
          <w:tcPr>
            <w:tcW w:w="1357" w:type="dxa"/>
            <w:tcBorders>
              <w:top w:val="single" w:sz="7" w:space="0" w:color="000000"/>
              <w:left w:val="single" w:sz="7" w:space="0" w:color="000000"/>
              <w:bottom w:val="single" w:sz="7" w:space="0" w:color="000000"/>
              <w:right w:val="single" w:sz="7" w:space="0" w:color="000000"/>
            </w:tcBorders>
            <w:vAlign w:val="center"/>
          </w:tcPr>
          <w:p w14:paraId="735C1A28" w14:textId="77777777" w:rsidR="009C5DD5" w:rsidRPr="00C57832" w:rsidRDefault="009C5DD5">
            <w:pPr>
              <w:jc w:val="center"/>
              <w:rPr>
                <w:lang w:val="fr-BE"/>
              </w:rPr>
            </w:pPr>
          </w:p>
        </w:tc>
        <w:tc>
          <w:tcPr>
            <w:tcW w:w="1357" w:type="dxa"/>
            <w:tcBorders>
              <w:top w:val="single" w:sz="7" w:space="0" w:color="000000"/>
              <w:left w:val="single" w:sz="7" w:space="0" w:color="000000"/>
              <w:bottom w:val="single" w:sz="7" w:space="0" w:color="000000"/>
              <w:right w:val="single" w:sz="7" w:space="0" w:color="000000"/>
            </w:tcBorders>
          </w:tcPr>
          <w:p w14:paraId="397C7FEE" w14:textId="790296B2" w:rsidR="009C5DD5" w:rsidRPr="00C57832" w:rsidRDefault="009C5DD5">
            <w:pPr>
              <w:jc w:val="center"/>
              <w:rPr>
                <w:lang w:val="fr-BE"/>
              </w:rPr>
            </w:pPr>
          </w:p>
        </w:tc>
        <w:tc>
          <w:tcPr>
            <w:tcW w:w="1276" w:type="dxa"/>
            <w:tcBorders>
              <w:top w:val="single" w:sz="7" w:space="0" w:color="000000"/>
              <w:left w:val="single" w:sz="7" w:space="0" w:color="000000"/>
              <w:bottom w:val="single" w:sz="7" w:space="0" w:color="000000"/>
              <w:right w:val="single" w:sz="7" w:space="0" w:color="000000"/>
            </w:tcBorders>
          </w:tcPr>
          <w:p w14:paraId="397C7FEF" w14:textId="77777777" w:rsidR="009C5DD5" w:rsidRPr="00C57832" w:rsidRDefault="009C5DD5">
            <w:pPr>
              <w:jc w:val="center"/>
              <w:rPr>
                <w:lang w:val="fr-BE"/>
              </w:rPr>
            </w:pPr>
          </w:p>
        </w:tc>
        <w:tc>
          <w:tcPr>
            <w:tcW w:w="1276" w:type="dxa"/>
            <w:tcBorders>
              <w:top w:val="single" w:sz="7" w:space="0" w:color="000000"/>
              <w:left w:val="single" w:sz="7" w:space="0" w:color="000000"/>
              <w:bottom w:val="single" w:sz="7" w:space="0" w:color="000000"/>
              <w:right w:val="single" w:sz="7" w:space="0" w:color="000000"/>
            </w:tcBorders>
          </w:tcPr>
          <w:p w14:paraId="397C7FF0" w14:textId="77777777" w:rsidR="009C5DD5" w:rsidRPr="00C57832" w:rsidRDefault="009C5DD5">
            <w:pPr>
              <w:jc w:val="center"/>
              <w:rPr>
                <w:lang w:val="fr-BE"/>
              </w:rPr>
            </w:pPr>
          </w:p>
        </w:tc>
      </w:tr>
      <w:tr w:rsidR="009C5DD5" w:rsidRPr="007174D8" w14:paraId="397C7FF8" w14:textId="77777777" w:rsidTr="009D5CAA">
        <w:trPr>
          <w:trHeight w:val="397"/>
        </w:trPr>
        <w:tc>
          <w:tcPr>
            <w:tcW w:w="1440" w:type="dxa"/>
            <w:tcBorders>
              <w:top w:val="single" w:sz="7" w:space="0" w:color="000000"/>
              <w:left w:val="single" w:sz="7" w:space="0" w:color="000000"/>
              <w:bottom w:val="single" w:sz="7" w:space="0" w:color="000000"/>
              <w:right w:val="single" w:sz="7" w:space="0" w:color="000000"/>
            </w:tcBorders>
            <w:vAlign w:val="center"/>
          </w:tcPr>
          <w:p w14:paraId="397C7FF2" w14:textId="77777777" w:rsidR="009C5DD5" w:rsidRPr="00C57832" w:rsidRDefault="009C5DD5">
            <w:pPr>
              <w:jc w:val="center"/>
              <w:rPr>
                <w:lang w:val="fr-BE"/>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397C7FF3" w14:textId="77777777" w:rsidR="009C5DD5" w:rsidRPr="00C57832" w:rsidRDefault="009C5DD5">
            <w:pPr>
              <w:jc w:val="center"/>
              <w:rPr>
                <w:lang w:val="fr-BE"/>
              </w:rPr>
            </w:pPr>
          </w:p>
        </w:tc>
        <w:tc>
          <w:tcPr>
            <w:tcW w:w="1620" w:type="dxa"/>
            <w:tcBorders>
              <w:top w:val="single" w:sz="7" w:space="0" w:color="000000"/>
              <w:left w:val="single" w:sz="7" w:space="0" w:color="000000"/>
              <w:bottom w:val="single" w:sz="7" w:space="0" w:color="000000"/>
              <w:right w:val="single" w:sz="7" w:space="0" w:color="000000"/>
            </w:tcBorders>
          </w:tcPr>
          <w:p w14:paraId="59A69B35" w14:textId="77777777" w:rsidR="009C5DD5" w:rsidRPr="00C57832" w:rsidRDefault="009C5DD5">
            <w:pPr>
              <w:jc w:val="center"/>
              <w:rPr>
                <w:lang w:val="fr-BE"/>
              </w:rPr>
            </w:pPr>
          </w:p>
        </w:tc>
        <w:tc>
          <w:tcPr>
            <w:tcW w:w="1357" w:type="dxa"/>
            <w:tcBorders>
              <w:top w:val="single" w:sz="7" w:space="0" w:color="000000"/>
              <w:left w:val="single" w:sz="7" w:space="0" w:color="000000"/>
              <w:bottom w:val="single" w:sz="7" w:space="0" w:color="000000"/>
              <w:right w:val="single" w:sz="7" w:space="0" w:color="000000"/>
            </w:tcBorders>
            <w:vAlign w:val="center"/>
          </w:tcPr>
          <w:p w14:paraId="26BD6E8C" w14:textId="77777777" w:rsidR="009C5DD5" w:rsidRPr="00C57832" w:rsidRDefault="009C5DD5">
            <w:pPr>
              <w:jc w:val="center"/>
              <w:rPr>
                <w:lang w:val="fr-BE"/>
              </w:rPr>
            </w:pPr>
          </w:p>
        </w:tc>
        <w:tc>
          <w:tcPr>
            <w:tcW w:w="1357" w:type="dxa"/>
            <w:tcBorders>
              <w:top w:val="single" w:sz="7" w:space="0" w:color="000000"/>
              <w:left w:val="single" w:sz="7" w:space="0" w:color="000000"/>
              <w:bottom w:val="single" w:sz="7" w:space="0" w:color="000000"/>
              <w:right w:val="single" w:sz="7" w:space="0" w:color="000000"/>
            </w:tcBorders>
          </w:tcPr>
          <w:p w14:paraId="397C7FF5" w14:textId="75FA8496" w:rsidR="009C5DD5" w:rsidRPr="00C57832" w:rsidRDefault="009C5DD5">
            <w:pPr>
              <w:jc w:val="center"/>
              <w:rPr>
                <w:lang w:val="fr-BE"/>
              </w:rPr>
            </w:pPr>
          </w:p>
        </w:tc>
        <w:tc>
          <w:tcPr>
            <w:tcW w:w="1276" w:type="dxa"/>
            <w:tcBorders>
              <w:top w:val="single" w:sz="7" w:space="0" w:color="000000"/>
              <w:left w:val="single" w:sz="7" w:space="0" w:color="000000"/>
              <w:bottom w:val="single" w:sz="7" w:space="0" w:color="000000"/>
              <w:right w:val="single" w:sz="7" w:space="0" w:color="000000"/>
            </w:tcBorders>
          </w:tcPr>
          <w:p w14:paraId="397C7FF6" w14:textId="77777777" w:rsidR="009C5DD5" w:rsidRPr="00C57832" w:rsidRDefault="009C5DD5">
            <w:pPr>
              <w:jc w:val="center"/>
              <w:rPr>
                <w:lang w:val="fr-BE"/>
              </w:rPr>
            </w:pPr>
          </w:p>
        </w:tc>
        <w:tc>
          <w:tcPr>
            <w:tcW w:w="1276" w:type="dxa"/>
            <w:tcBorders>
              <w:top w:val="single" w:sz="7" w:space="0" w:color="000000"/>
              <w:left w:val="single" w:sz="7" w:space="0" w:color="000000"/>
              <w:bottom w:val="single" w:sz="7" w:space="0" w:color="000000"/>
              <w:right w:val="single" w:sz="7" w:space="0" w:color="000000"/>
            </w:tcBorders>
          </w:tcPr>
          <w:p w14:paraId="397C7FF7" w14:textId="77777777" w:rsidR="009C5DD5" w:rsidRPr="00C57832" w:rsidRDefault="009C5DD5">
            <w:pPr>
              <w:jc w:val="center"/>
              <w:rPr>
                <w:lang w:val="fr-BE"/>
              </w:rPr>
            </w:pPr>
          </w:p>
        </w:tc>
      </w:tr>
      <w:tr w:rsidR="009C5DD5" w:rsidRPr="007174D8" w14:paraId="397C7FFF" w14:textId="77777777" w:rsidTr="009D5CAA">
        <w:trPr>
          <w:trHeight w:val="397"/>
        </w:trPr>
        <w:tc>
          <w:tcPr>
            <w:tcW w:w="1440" w:type="dxa"/>
            <w:tcBorders>
              <w:top w:val="single" w:sz="7" w:space="0" w:color="000000"/>
              <w:left w:val="single" w:sz="7" w:space="0" w:color="000000"/>
              <w:bottom w:val="single" w:sz="7" w:space="0" w:color="000000"/>
              <w:right w:val="single" w:sz="7" w:space="0" w:color="000000"/>
            </w:tcBorders>
            <w:vAlign w:val="center"/>
          </w:tcPr>
          <w:p w14:paraId="397C7FF9" w14:textId="77777777" w:rsidR="009C5DD5" w:rsidRPr="00C57832" w:rsidRDefault="009C5DD5">
            <w:pPr>
              <w:jc w:val="center"/>
              <w:rPr>
                <w:lang w:val="fr-BE"/>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397C7FFA" w14:textId="77777777" w:rsidR="009C5DD5" w:rsidRPr="00C57832" w:rsidRDefault="009C5DD5">
            <w:pPr>
              <w:jc w:val="center"/>
              <w:rPr>
                <w:lang w:val="fr-BE"/>
              </w:rPr>
            </w:pPr>
          </w:p>
        </w:tc>
        <w:tc>
          <w:tcPr>
            <w:tcW w:w="1620" w:type="dxa"/>
            <w:tcBorders>
              <w:top w:val="single" w:sz="7" w:space="0" w:color="000000"/>
              <w:left w:val="single" w:sz="7" w:space="0" w:color="000000"/>
              <w:bottom w:val="single" w:sz="7" w:space="0" w:color="000000"/>
              <w:right w:val="single" w:sz="7" w:space="0" w:color="000000"/>
            </w:tcBorders>
          </w:tcPr>
          <w:p w14:paraId="1B23CB1B" w14:textId="77777777" w:rsidR="009C5DD5" w:rsidRPr="00C57832" w:rsidRDefault="009C5DD5">
            <w:pPr>
              <w:jc w:val="center"/>
              <w:rPr>
                <w:lang w:val="fr-BE"/>
              </w:rPr>
            </w:pPr>
          </w:p>
        </w:tc>
        <w:tc>
          <w:tcPr>
            <w:tcW w:w="1357" w:type="dxa"/>
            <w:tcBorders>
              <w:top w:val="single" w:sz="7" w:space="0" w:color="000000"/>
              <w:left w:val="single" w:sz="7" w:space="0" w:color="000000"/>
              <w:bottom w:val="single" w:sz="7" w:space="0" w:color="000000"/>
              <w:right w:val="single" w:sz="7" w:space="0" w:color="000000"/>
            </w:tcBorders>
            <w:vAlign w:val="center"/>
          </w:tcPr>
          <w:p w14:paraId="4DCFED7B" w14:textId="77777777" w:rsidR="009C5DD5" w:rsidRPr="00C57832" w:rsidRDefault="009C5DD5">
            <w:pPr>
              <w:jc w:val="center"/>
              <w:rPr>
                <w:lang w:val="fr-BE"/>
              </w:rPr>
            </w:pPr>
          </w:p>
        </w:tc>
        <w:tc>
          <w:tcPr>
            <w:tcW w:w="1357" w:type="dxa"/>
            <w:tcBorders>
              <w:top w:val="single" w:sz="7" w:space="0" w:color="000000"/>
              <w:left w:val="single" w:sz="7" w:space="0" w:color="000000"/>
              <w:bottom w:val="single" w:sz="7" w:space="0" w:color="000000"/>
              <w:right w:val="single" w:sz="7" w:space="0" w:color="000000"/>
            </w:tcBorders>
          </w:tcPr>
          <w:p w14:paraId="397C7FFC" w14:textId="12BF3E91" w:rsidR="009C5DD5" w:rsidRPr="00C57832" w:rsidRDefault="009C5DD5">
            <w:pPr>
              <w:jc w:val="center"/>
              <w:rPr>
                <w:lang w:val="fr-BE"/>
              </w:rPr>
            </w:pPr>
          </w:p>
        </w:tc>
        <w:tc>
          <w:tcPr>
            <w:tcW w:w="1276" w:type="dxa"/>
            <w:tcBorders>
              <w:top w:val="single" w:sz="7" w:space="0" w:color="000000"/>
              <w:left w:val="single" w:sz="7" w:space="0" w:color="000000"/>
              <w:bottom w:val="single" w:sz="7" w:space="0" w:color="000000"/>
              <w:right w:val="single" w:sz="7" w:space="0" w:color="000000"/>
            </w:tcBorders>
          </w:tcPr>
          <w:p w14:paraId="397C7FFD" w14:textId="77777777" w:rsidR="009C5DD5" w:rsidRPr="00C57832" w:rsidRDefault="009C5DD5">
            <w:pPr>
              <w:jc w:val="center"/>
              <w:rPr>
                <w:lang w:val="fr-BE"/>
              </w:rPr>
            </w:pPr>
          </w:p>
        </w:tc>
        <w:tc>
          <w:tcPr>
            <w:tcW w:w="1276" w:type="dxa"/>
            <w:tcBorders>
              <w:top w:val="single" w:sz="7" w:space="0" w:color="000000"/>
              <w:left w:val="single" w:sz="7" w:space="0" w:color="000000"/>
              <w:bottom w:val="single" w:sz="7" w:space="0" w:color="000000"/>
              <w:right w:val="single" w:sz="7" w:space="0" w:color="000000"/>
            </w:tcBorders>
          </w:tcPr>
          <w:p w14:paraId="397C7FFE" w14:textId="77777777" w:rsidR="009C5DD5" w:rsidRPr="00C57832" w:rsidRDefault="009C5DD5">
            <w:pPr>
              <w:jc w:val="center"/>
              <w:rPr>
                <w:lang w:val="fr-BE"/>
              </w:rPr>
            </w:pPr>
          </w:p>
        </w:tc>
      </w:tr>
      <w:tr w:rsidR="009C5DD5" w:rsidRPr="00C57832" w14:paraId="397C8006" w14:textId="77777777" w:rsidTr="009D5CAA">
        <w:trPr>
          <w:trHeight w:val="397"/>
        </w:trPr>
        <w:tc>
          <w:tcPr>
            <w:tcW w:w="1440" w:type="dxa"/>
            <w:tcBorders>
              <w:top w:val="single" w:sz="7" w:space="0" w:color="000000"/>
              <w:left w:val="single" w:sz="7" w:space="0" w:color="000000"/>
              <w:bottom w:val="single" w:sz="8" w:space="0" w:color="000000"/>
              <w:right w:val="single" w:sz="7" w:space="0" w:color="000000"/>
            </w:tcBorders>
            <w:vAlign w:val="center"/>
          </w:tcPr>
          <w:p w14:paraId="397C8000" w14:textId="77777777" w:rsidR="009C5DD5" w:rsidRPr="00C57832" w:rsidRDefault="009C5DD5">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bCs/>
                <w:szCs w:val="18"/>
                <w:lang w:val="fr-BE"/>
              </w:rPr>
            </w:pPr>
            <w:r w:rsidRPr="00C57832">
              <w:rPr>
                <w:bCs/>
                <w:szCs w:val="18"/>
                <w:lang w:val="fr-BE"/>
              </w:rPr>
              <w:t>TOTAL</w:t>
            </w:r>
          </w:p>
        </w:tc>
        <w:tc>
          <w:tcPr>
            <w:tcW w:w="1254" w:type="dxa"/>
            <w:tcBorders>
              <w:top w:val="single" w:sz="7" w:space="0" w:color="000000"/>
              <w:left w:val="single" w:sz="7" w:space="0" w:color="000000"/>
              <w:bottom w:val="single" w:sz="8" w:space="0" w:color="000000"/>
              <w:right w:val="single" w:sz="7" w:space="0" w:color="000000"/>
            </w:tcBorders>
            <w:vAlign w:val="center"/>
          </w:tcPr>
          <w:p w14:paraId="397C8001" w14:textId="77777777" w:rsidR="009C5DD5" w:rsidRPr="00C57832" w:rsidRDefault="009C5DD5">
            <w:pPr>
              <w:jc w:val="center"/>
              <w:rPr>
                <w:lang w:val="fr-BE"/>
              </w:rPr>
            </w:pPr>
          </w:p>
        </w:tc>
        <w:tc>
          <w:tcPr>
            <w:tcW w:w="1620" w:type="dxa"/>
            <w:tcBorders>
              <w:top w:val="single" w:sz="7" w:space="0" w:color="000000"/>
              <w:left w:val="single" w:sz="7" w:space="0" w:color="000000"/>
              <w:bottom w:val="single" w:sz="8" w:space="0" w:color="000000"/>
              <w:right w:val="single" w:sz="7" w:space="0" w:color="000000"/>
            </w:tcBorders>
          </w:tcPr>
          <w:p w14:paraId="7A4F0B3A" w14:textId="77777777" w:rsidR="009C5DD5" w:rsidRPr="00C57832" w:rsidRDefault="009C5DD5">
            <w:pPr>
              <w:jc w:val="center"/>
              <w:rPr>
                <w:lang w:val="fr-BE"/>
              </w:rPr>
            </w:pPr>
          </w:p>
        </w:tc>
        <w:tc>
          <w:tcPr>
            <w:tcW w:w="1357" w:type="dxa"/>
            <w:tcBorders>
              <w:top w:val="single" w:sz="7" w:space="0" w:color="000000"/>
              <w:left w:val="single" w:sz="7" w:space="0" w:color="000000"/>
              <w:bottom w:val="single" w:sz="8" w:space="0" w:color="000000"/>
              <w:right w:val="single" w:sz="7" w:space="0" w:color="000000"/>
            </w:tcBorders>
            <w:vAlign w:val="center"/>
          </w:tcPr>
          <w:p w14:paraId="44CB73B2" w14:textId="77777777" w:rsidR="009C5DD5" w:rsidRPr="00C57832" w:rsidRDefault="009C5DD5">
            <w:pPr>
              <w:jc w:val="center"/>
              <w:rPr>
                <w:lang w:val="fr-BE"/>
              </w:rPr>
            </w:pPr>
          </w:p>
        </w:tc>
        <w:tc>
          <w:tcPr>
            <w:tcW w:w="1357" w:type="dxa"/>
            <w:tcBorders>
              <w:top w:val="single" w:sz="7" w:space="0" w:color="000000"/>
              <w:left w:val="single" w:sz="7" w:space="0" w:color="000000"/>
              <w:bottom w:val="single" w:sz="8" w:space="0" w:color="000000"/>
              <w:right w:val="single" w:sz="7" w:space="0" w:color="000000"/>
            </w:tcBorders>
          </w:tcPr>
          <w:p w14:paraId="397C8003" w14:textId="3C989651" w:rsidR="009C5DD5" w:rsidRPr="00C57832" w:rsidRDefault="009C5DD5">
            <w:pPr>
              <w:jc w:val="center"/>
              <w:rPr>
                <w:lang w:val="fr-BE"/>
              </w:rPr>
            </w:pPr>
          </w:p>
        </w:tc>
        <w:tc>
          <w:tcPr>
            <w:tcW w:w="1276" w:type="dxa"/>
            <w:tcBorders>
              <w:top w:val="single" w:sz="7" w:space="0" w:color="000000"/>
              <w:left w:val="single" w:sz="7" w:space="0" w:color="000000"/>
              <w:bottom w:val="single" w:sz="8" w:space="0" w:color="000000"/>
              <w:right w:val="single" w:sz="7" w:space="0" w:color="000000"/>
            </w:tcBorders>
          </w:tcPr>
          <w:p w14:paraId="397C8004" w14:textId="77777777" w:rsidR="009C5DD5" w:rsidRPr="00C57832" w:rsidRDefault="009C5DD5">
            <w:pPr>
              <w:jc w:val="center"/>
              <w:rPr>
                <w:lang w:val="fr-BE"/>
              </w:rPr>
            </w:pPr>
          </w:p>
        </w:tc>
        <w:tc>
          <w:tcPr>
            <w:tcW w:w="1276" w:type="dxa"/>
            <w:tcBorders>
              <w:top w:val="single" w:sz="7" w:space="0" w:color="000000"/>
              <w:left w:val="single" w:sz="7" w:space="0" w:color="000000"/>
              <w:bottom w:val="single" w:sz="8" w:space="0" w:color="000000"/>
              <w:right w:val="single" w:sz="7" w:space="0" w:color="000000"/>
            </w:tcBorders>
          </w:tcPr>
          <w:p w14:paraId="397C8005" w14:textId="77777777" w:rsidR="009C5DD5" w:rsidRPr="00C57832" w:rsidRDefault="009C5DD5">
            <w:pPr>
              <w:jc w:val="center"/>
              <w:rPr>
                <w:lang w:val="fr-BE"/>
              </w:rPr>
            </w:pPr>
          </w:p>
        </w:tc>
      </w:tr>
    </w:tbl>
    <w:p w14:paraId="397C8007" w14:textId="77777777" w:rsidR="006B4934" w:rsidRPr="00C57832" w:rsidRDefault="006B4934">
      <w:pPr>
        <w:rPr>
          <w:lang w:val="fr-BE"/>
        </w:rPr>
      </w:pPr>
    </w:p>
    <w:p w14:paraId="397C8008" w14:textId="32F31389" w:rsidR="006B4934" w:rsidRPr="00C57832" w:rsidRDefault="006B4934">
      <w:pPr>
        <w:rPr>
          <w:lang w:val="fr-BE"/>
        </w:rPr>
      </w:pPr>
      <w:r w:rsidRPr="00C57832">
        <w:rPr>
          <w:lang w:val="fr-BE"/>
        </w:rPr>
        <w:t>Le poids moyen des conteneurs enlevés (</w:t>
      </w:r>
      <w:r w:rsidR="00306B75" w:rsidRPr="00C57832">
        <w:rPr>
          <w:szCs w:val="18"/>
          <w:lang w:val="fr-BE"/>
        </w:rPr>
        <w:fldChar w:fldCharType="begin">
          <w:ffData>
            <w:name w:val=""/>
            <w:enabled/>
            <w:calcOnExit w:val="0"/>
            <w:textInput>
              <w:default w:val="&lt;indiquer le volume&gt;"/>
            </w:textInput>
          </w:ffData>
        </w:fldChar>
      </w:r>
      <w:r w:rsidR="006F32FF"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006F32FF" w:rsidRPr="00C57832">
        <w:rPr>
          <w:szCs w:val="18"/>
          <w:lang w:val="fr-BE"/>
        </w:rPr>
        <w:t>&lt;indiquer le volume&gt;</w:t>
      </w:r>
      <w:r w:rsidR="00306B75" w:rsidRPr="00C57832">
        <w:rPr>
          <w:szCs w:val="18"/>
          <w:lang w:val="fr-BE"/>
        </w:rPr>
        <w:fldChar w:fldCharType="end"/>
      </w:r>
      <w:r w:rsidRPr="00C57832">
        <w:rPr>
          <w:lang w:val="fr-BE"/>
        </w:rPr>
        <w:t xml:space="preserve"> m³), en provenance des </w:t>
      </w:r>
      <w:proofErr w:type="spellStart"/>
      <w:r w:rsidR="00872188" w:rsidRPr="00C57832">
        <w:rPr>
          <w:lang w:val="fr-BE"/>
        </w:rPr>
        <w:t>recyparcs</w:t>
      </w:r>
      <w:proofErr w:type="spellEnd"/>
      <w:r w:rsidRPr="00C57832">
        <w:rPr>
          <w:lang w:val="fr-BE"/>
        </w:rPr>
        <w:t xml:space="preserve"> s’élève à </w:t>
      </w:r>
      <w:r w:rsidR="00306B75" w:rsidRPr="00C57832">
        <w:rPr>
          <w:szCs w:val="18"/>
          <w:lang w:val="fr-BE"/>
        </w:rPr>
        <w:fldChar w:fldCharType="begin">
          <w:ffData>
            <w:name w:val=""/>
            <w:enabled/>
            <w:calcOnExit w:val="0"/>
            <w:textInput>
              <w:default w:val="&lt;indiquer le poids&gt;"/>
            </w:textInput>
          </w:ffData>
        </w:fldChar>
      </w:r>
      <w:r w:rsidR="006F32FF" w:rsidRPr="00C57832">
        <w:rPr>
          <w:szCs w:val="18"/>
          <w:lang w:val="fr-BE"/>
        </w:rPr>
        <w:instrText xml:space="preserve"> FORMTEXT </w:instrText>
      </w:r>
      <w:r w:rsidR="00306B75" w:rsidRPr="00C57832">
        <w:rPr>
          <w:szCs w:val="18"/>
          <w:lang w:val="fr-BE"/>
        </w:rPr>
      </w:r>
      <w:r w:rsidR="00306B75" w:rsidRPr="00C57832">
        <w:rPr>
          <w:szCs w:val="18"/>
          <w:lang w:val="fr-BE"/>
        </w:rPr>
        <w:fldChar w:fldCharType="separate"/>
      </w:r>
      <w:r w:rsidR="006F32FF" w:rsidRPr="00C57832">
        <w:rPr>
          <w:szCs w:val="18"/>
          <w:lang w:val="fr-BE"/>
        </w:rPr>
        <w:t>&lt;indiquer le poids&gt;</w:t>
      </w:r>
      <w:r w:rsidR="00306B75" w:rsidRPr="00C57832">
        <w:rPr>
          <w:szCs w:val="18"/>
          <w:lang w:val="fr-BE"/>
        </w:rPr>
        <w:fldChar w:fldCharType="end"/>
      </w:r>
      <w:r w:rsidRPr="00C57832">
        <w:rPr>
          <w:lang w:val="fr-BE"/>
        </w:rPr>
        <w:t xml:space="preserve"> ton</w:t>
      </w:r>
      <w:r w:rsidR="00634543" w:rsidRPr="00C57832">
        <w:rPr>
          <w:lang w:val="fr-BE"/>
        </w:rPr>
        <w:t>nes</w:t>
      </w:r>
      <w:r w:rsidRPr="00C57832">
        <w:rPr>
          <w:lang w:val="fr-BE"/>
        </w:rPr>
        <w:t>.</w:t>
      </w:r>
    </w:p>
    <w:p w14:paraId="397C8009" w14:textId="32414C0E" w:rsidR="006B4934" w:rsidRPr="00C57832" w:rsidRDefault="006B4934">
      <w:pPr>
        <w:rPr>
          <w:lang w:val="fr-BE"/>
        </w:rPr>
      </w:pPr>
      <w:r w:rsidRPr="00C57832">
        <w:rPr>
          <w:lang w:val="fr-BE"/>
        </w:rPr>
        <w:t xml:space="preserve">Adresse des </w:t>
      </w:r>
      <w:proofErr w:type="spellStart"/>
      <w:r w:rsidR="00872188" w:rsidRPr="00C57832">
        <w:rPr>
          <w:lang w:val="fr-BE"/>
        </w:rPr>
        <w:t>recyparcs</w:t>
      </w:r>
      <w:proofErr w:type="spellEnd"/>
      <w:r w:rsidRPr="00C57832">
        <w:rPr>
          <w:lang w:val="fr-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9"/>
        <w:gridCol w:w="3503"/>
        <w:gridCol w:w="3328"/>
      </w:tblGrid>
      <w:tr w:rsidR="006B4934" w:rsidRPr="00C57832" w14:paraId="397C800D" w14:textId="77777777">
        <w:trPr>
          <w:trHeight w:val="397"/>
        </w:trPr>
        <w:tc>
          <w:tcPr>
            <w:tcW w:w="2259" w:type="dxa"/>
            <w:shd w:val="clear" w:color="auto" w:fill="E0E0E0"/>
            <w:vAlign w:val="center"/>
          </w:tcPr>
          <w:p w14:paraId="397C800A" w14:textId="77777777" w:rsidR="006B4934" w:rsidRPr="00C57832" w:rsidRDefault="006B4934" w:rsidP="006669F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Cs/>
                <w:color w:val="000000"/>
                <w:szCs w:val="18"/>
                <w:lang w:val="fr-BE"/>
              </w:rPr>
            </w:pPr>
            <w:r w:rsidRPr="00C57832">
              <w:rPr>
                <w:bCs/>
                <w:color w:val="000000"/>
                <w:szCs w:val="18"/>
                <w:lang w:val="fr-BE"/>
              </w:rPr>
              <w:t>C</w:t>
            </w:r>
            <w:r w:rsidR="006669F3" w:rsidRPr="00C57832">
              <w:rPr>
                <w:bCs/>
                <w:color w:val="000000"/>
                <w:szCs w:val="18"/>
                <w:lang w:val="fr-BE"/>
              </w:rPr>
              <w:t>ommune</w:t>
            </w:r>
          </w:p>
        </w:tc>
        <w:tc>
          <w:tcPr>
            <w:tcW w:w="3573" w:type="dxa"/>
            <w:shd w:val="clear" w:color="auto" w:fill="E0E0E0"/>
            <w:vAlign w:val="center"/>
          </w:tcPr>
          <w:p w14:paraId="397C800B" w14:textId="77777777" w:rsidR="006B4934" w:rsidRPr="00C57832" w:rsidRDefault="006B4934" w:rsidP="006669F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Cs/>
                <w:color w:val="000000"/>
                <w:szCs w:val="18"/>
                <w:lang w:val="fr-BE"/>
              </w:rPr>
            </w:pPr>
            <w:r w:rsidRPr="00C57832">
              <w:rPr>
                <w:bCs/>
                <w:color w:val="000000"/>
                <w:szCs w:val="18"/>
                <w:lang w:val="fr-BE"/>
              </w:rPr>
              <w:t>A</w:t>
            </w:r>
            <w:r w:rsidR="006669F3" w:rsidRPr="00C57832">
              <w:rPr>
                <w:bCs/>
                <w:color w:val="000000"/>
                <w:szCs w:val="18"/>
                <w:lang w:val="fr-BE"/>
              </w:rPr>
              <w:t>dresse</w:t>
            </w:r>
          </w:p>
        </w:tc>
        <w:tc>
          <w:tcPr>
            <w:tcW w:w="3378" w:type="dxa"/>
            <w:shd w:val="clear" w:color="auto" w:fill="E0E0E0"/>
          </w:tcPr>
          <w:p w14:paraId="397C800C" w14:textId="77777777" w:rsidR="006B4934" w:rsidRPr="00C57832" w:rsidRDefault="006B4934" w:rsidP="006669F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Cs/>
                <w:color w:val="000000"/>
                <w:szCs w:val="18"/>
                <w:lang w:val="fr-BE"/>
              </w:rPr>
            </w:pPr>
            <w:proofErr w:type="spellStart"/>
            <w:r w:rsidRPr="00C57832">
              <w:rPr>
                <w:bCs/>
                <w:color w:val="000000"/>
                <w:szCs w:val="18"/>
                <w:lang w:val="fr-BE"/>
              </w:rPr>
              <w:t>T</w:t>
            </w:r>
            <w:r w:rsidR="006669F3" w:rsidRPr="00C57832">
              <w:rPr>
                <w:bCs/>
                <w:color w:val="000000"/>
                <w:szCs w:val="18"/>
                <w:lang w:val="fr-BE"/>
              </w:rPr>
              <w:t>ype+Nombre</w:t>
            </w:r>
            <w:proofErr w:type="spellEnd"/>
            <w:r w:rsidR="006669F3" w:rsidRPr="00C57832">
              <w:rPr>
                <w:bCs/>
                <w:color w:val="000000"/>
                <w:szCs w:val="18"/>
                <w:lang w:val="fr-BE"/>
              </w:rPr>
              <w:t xml:space="preserve"> de conteneurs</w:t>
            </w:r>
            <w:r w:rsidRPr="00C57832">
              <w:rPr>
                <w:bCs/>
                <w:color w:val="000000"/>
                <w:szCs w:val="18"/>
                <w:lang w:val="fr-BE"/>
              </w:rPr>
              <w:t xml:space="preserve"> </w:t>
            </w:r>
          </w:p>
        </w:tc>
      </w:tr>
      <w:tr w:rsidR="006B4934" w:rsidRPr="00C57832" w14:paraId="397C8011" w14:textId="77777777">
        <w:trPr>
          <w:trHeight w:val="397"/>
        </w:trPr>
        <w:tc>
          <w:tcPr>
            <w:tcW w:w="2259" w:type="dxa"/>
            <w:vAlign w:val="center"/>
          </w:tcPr>
          <w:p w14:paraId="397C800E"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c>
          <w:tcPr>
            <w:tcW w:w="3573" w:type="dxa"/>
            <w:vAlign w:val="center"/>
          </w:tcPr>
          <w:p w14:paraId="397C800F"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c>
          <w:tcPr>
            <w:tcW w:w="3378" w:type="dxa"/>
          </w:tcPr>
          <w:p w14:paraId="397C8010"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r>
      <w:tr w:rsidR="006B4934" w:rsidRPr="00C57832" w14:paraId="397C8015" w14:textId="77777777">
        <w:trPr>
          <w:trHeight w:val="397"/>
        </w:trPr>
        <w:tc>
          <w:tcPr>
            <w:tcW w:w="2259" w:type="dxa"/>
            <w:vAlign w:val="center"/>
          </w:tcPr>
          <w:p w14:paraId="397C8012"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c>
          <w:tcPr>
            <w:tcW w:w="3573" w:type="dxa"/>
            <w:vAlign w:val="center"/>
          </w:tcPr>
          <w:p w14:paraId="397C8013"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c>
          <w:tcPr>
            <w:tcW w:w="3378" w:type="dxa"/>
          </w:tcPr>
          <w:p w14:paraId="397C8014"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r>
      <w:tr w:rsidR="006B4934" w:rsidRPr="00C57832" w14:paraId="397C8019" w14:textId="77777777">
        <w:trPr>
          <w:trHeight w:val="397"/>
        </w:trPr>
        <w:tc>
          <w:tcPr>
            <w:tcW w:w="2259" w:type="dxa"/>
            <w:vAlign w:val="center"/>
          </w:tcPr>
          <w:p w14:paraId="397C8016"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c>
          <w:tcPr>
            <w:tcW w:w="3573" w:type="dxa"/>
            <w:vAlign w:val="center"/>
          </w:tcPr>
          <w:p w14:paraId="397C8017"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c>
          <w:tcPr>
            <w:tcW w:w="3378" w:type="dxa"/>
          </w:tcPr>
          <w:p w14:paraId="397C8018"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r>
      <w:tr w:rsidR="006B4934" w:rsidRPr="00C57832" w14:paraId="397C801D" w14:textId="77777777">
        <w:trPr>
          <w:trHeight w:val="397"/>
        </w:trPr>
        <w:tc>
          <w:tcPr>
            <w:tcW w:w="2259" w:type="dxa"/>
            <w:vAlign w:val="center"/>
          </w:tcPr>
          <w:p w14:paraId="397C801A"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c>
          <w:tcPr>
            <w:tcW w:w="3573" w:type="dxa"/>
            <w:vAlign w:val="center"/>
          </w:tcPr>
          <w:p w14:paraId="397C801B"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c>
          <w:tcPr>
            <w:tcW w:w="3378" w:type="dxa"/>
          </w:tcPr>
          <w:p w14:paraId="397C801C"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r>
      <w:tr w:rsidR="006B4934" w:rsidRPr="00C57832" w14:paraId="397C8021" w14:textId="77777777">
        <w:trPr>
          <w:trHeight w:val="397"/>
        </w:trPr>
        <w:tc>
          <w:tcPr>
            <w:tcW w:w="2259" w:type="dxa"/>
            <w:vAlign w:val="center"/>
          </w:tcPr>
          <w:p w14:paraId="397C801E"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c>
          <w:tcPr>
            <w:tcW w:w="3573" w:type="dxa"/>
            <w:vAlign w:val="center"/>
          </w:tcPr>
          <w:p w14:paraId="397C801F"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c>
          <w:tcPr>
            <w:tcW w:w="3378" w:type="dxa"/>
          </w:tcPr>
          <w:p w14:paraId="397C8020" w14:textId="77777777" w:rsidR="006B4934" w:rsidRPr="00C57832" w:rsidRDefault="006B493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BE"/>
              </w:rPr>
            </w:pPr>
          </w:p>
        </w:tc>
      </w:tr>
    </w:tbl>
    <w:p w14:paraId="397C8022" w14:textId="77777777" w:rsidR="006B4934" w:rsidRPr="00C57832" w:rsidRDefault="006B4934">
      <w:pPr>
        <w:rPr>
          <w:lang w:val="fr-BE"/>
        </w:rPr>
        <w:sectPr w:rsidR="006B4934" w:rsidRPr="00C57832">
          <w:pgSz w:w="11906" w:h="16838" w:code="9"/>
          <w:pgMar w:top="1418" w:right="1418" w:bottom="1418" w:left="1418" w:header="709" w:footer="709" w:gutter="0"/>
          <w:cols w:space="708"/>
          <w:docGrid w:linePitch="360"/>
        </w:sectPr>
      </w:pPr>
    </w:p>
    <w:p w14:paraId="397C8023" w14:textId="25E87906" w:rsidR="006B4934" w:rsidRPr="00C57832" w:rsidRDefault="006B4934" w:rsidP="00FF67A6">
      <w:pPr>
        <w:pStyle w:val="Titre2"/>
        <w:rPr>
          <w:lang w:val="fr-BE"/>
        </w:rPr>
      </w:pPr>
      <w:bookmarkStart w:id="207" w:name="_Toc200945541"/>
      <w:bookmarkStart w:id="208" w:name="_Toc201025172"/>
      <w:bookmarkStart w:id="209" w:name="_Toc201587479"/>
      <w:bookmarkStart w:id="210" w:name="_Toc513197786"/>
      <w:r w:rsidRPr="00C57832">
        <w:rPr>
          <w:lang w:val="fr-BE"/>
        </w:rPr>
        <w:lastRenderedPageBreak/>
        <w:t xml:space="preserve">Annexe </w:t>
      </w:r>
      <w:proofErr w:type="gramStart"/>
      <w:r w:rsidRPr="00C57832">
        <w:rPr>
          <w:lang w:val="fr-BE"/>
        </w:rPr>
        <w:t>D:</w:t>
      </w:r>
      <w:proofErr w:type="gramEnd"/>
      <w:r w:rsidRPr="00C57832">
        <w:rPr>
          <w:lang w:val="fr-BE"/>
        </w:rPr>
        <w:t xml:space="preserve"> Spécifications des PMC</w:t>
      </w:r>
      <w:bookmarkEnd w:id="207"/>
      <w:bookmarkEnd w:id="208"/>
      <w:bookmarkEnd w:id="209"/>
      <w:bookmarkEnd w:id="210"/>
      <w:r w:rsidRPr="00C57832">
        <w:rPr>
          <w:lang w:val="fr-BE"/>
        </w:rPr>
        <w:t xml:space="preserve"> </w:t>
      </w:r>
    </w:p>
    <w:p w14:paraId="397C8024" w14:textId="77777777" w:rsidR="006B4934" w:rsidRPr="00C57832" w:rsidRDefault="006B4934">
      <w:pPr>
        <w:pStyle w:val="Listenumros"/>
        <w:rPr>
          <w:rFonts w:eastAsia="Times New Roman"/>
          <w:lang w:val="fr-BE" w:eastAsia="nl-NL"/>
        </w:rPr>
      </w:pPr>
    </w:p>
    <w:p w14:paraId="397C8025" w14:textId="77777777" w:rsidR="00681B3E" w:rsidRPr="00C57832" w:rsidRDefault="006B4934" w:rsidP="00451860">
      <w:pPr>
        <w:pStyle w:val="Listenumros"/>
        <w:numPr>
          <w:ilvl w:val="0"/>
          <w:numId w:val="6"/>
        </w:numPr>
        <w:rPr>
          <w:rFonts w:eastAsia="Times New Roman"/>
          <w:u w:val="single"/>
          <w:lang w:val="fr-BE" w:eastAsia="nl-NL"/>
        </w:rPr>
      </w:pPr>
      <w:r w:rsidRPr="00C57832">
        <w:rPr>
          <w:rFonts w:eastAsia="Times New Roman"/>
          <w:u w:val="single"/>
          <w:lang w:val="fr-BE" w:eastAsia="nl-NL"/>
        </w:rPr>
        <w:t>Description de la fraction à collecter (règles de tri pour le citoyen)</w:t>
      </w:r>
    </w:p>
    <w:p w14:paraId="17A68428" w14:textId="5ABB1F6C" w:rsidR="0019477E" w:rsidRPr="00C57832" w:rsidRDefault="0019477E">
      <w:pPr>
        <w:rPr>
          <w:lang w:val="fr-BE"/>
        </w:rPr>
      </w:pPr>
    </w:p>
    <w:p w14:paraId="397C8027" w14:textId="7A9C154A" w:rsidR="006B4934" w:rsidRPr="004737F6" w:rsidRDefault="006B4934">
      <w:pPr>
        <w:rPr>
          <w:lang w:val="fr-BE"/>
        </w:rPr>
      </w:pPr>
      <w:r w:rsidRPr="004737F6">
        <w:rPr>
          <w:lang w:val="fr-BE"/>
        </w:rPr>
        <w:t>Il s’agit des PMC d’origine ménagère suivants :</w:t>
      </w:r>
    </w:p>
    <w:p w14:paraId="1620608D" w14:textId="77777777" w:rsidR="0019477E" w:rsidRPr="004737F6" w:rsidRDefault="0019477E" w:rsidP="0019477E">
      <w:pPr>
        <w:rPr>
          <w:lang w:val="fr-BE"/>
        </w:rPr>
      </w:pPr>
      <w:r w:rsidRPr="004737F6">
        <w:rPr>
          <w:lang w:val="fr-BE"/>
        </w:rPr>
        <w:t xml:space="preserve">La fraction emballages </w:t>
      </w:r>
      <w:r w:rsidRPr="004737F6">
        <w:rPr>
          <w:b/>
          <w:lang w:val="fr-BE"/>
        </w:rPr>
        <w:t>P</w:t>
      </w:r>
      <w:r w:rsidRPr="004737F6">
        <w:rPr>
          <w:lang w:val="fr-BE"/>
        </w:rPr>
        <w:t xml:space="preserve">lastiques, emballages </w:t>
      </w:r>
      <w:r w:rsidRPr="004737F6">
        <w:rPr>
          <w:b/>
          <w:lang w:val="fr-BE"/>
        </w:rPr>
        <w:t>M</w:t>
      </w:r>
      <w:r w:rsidRPr="004737F6">
        <w:rPr>
          <w:lang w:val="fr-BE"/>
        </w:rPr>
        <w:t xml:space="preserve">étalliques et </w:t>
      </w:r>
      <w:r w:rsidRPr="004737F6">
        <w:rPr>
          <w:b/>
          <w:lang w:val="fr-BE"/>
        </w:rPr>
        <w:t>C</w:t>
      </w:r>
      <w:r w:rsidRPr="004737F6">
        <w:rPr>
          <w:lang w:val="fr-BE"/>
        </w:rPr>
        <w:t>artons à boissons se décrit simplement comme suit :</w:t>
      </w:r>
    </w:p>
    <w:p w14:paraId="7324B392" w14:textId="150221DF" w:rsidR="0019477E" w:rsidRPr="004737F6" w:rsidRDefault="0019477E" w:rsidP="007174D8">
      <w:pPr>
        <w:pStyle w:val="Listepuces"/>
      </w:pPr>
      <w:r w:rsidRPr="004737F6">
        <w:t xml:space="preserve">Emballages </w:t>
      </w:r>
      <w:r w:rsidRPr="004737F6">
        <w:rPr>
          <w:b/>
        </w:rPr>
        <w:t>P</w:t>
      </w:r>
      <w:r w:rsidRPr="004737F6">
        <w:t xml:space="preserve">lastiques : bouteilles, flacons, pots, barquettes (XPS inclus), raviers, films (sacs de chips avec revêtement couleur aluminium inclus), </w:t>
      </w:r>
      <w:r w:rsidR="00285B20">
        <w:t xml:space="preserve">et </w:t>
      </w:r>
      <w:bookmarkStart w:id="211" w:name="_GoBack"/>
      <w:bookmarkEnd w:id="211"/>
      <w:r w:rsidR="007174D8" w:rsidRPr="007174D8">
        <w:rPr>
          <w:lang w:val="fr-BE"/>
        </w:rPr>
        <w:t>à l'exception des</w:t>
      </w:r>
      <w:r w:rsidRPr="004737F6">
        <w:t xml:space="preserve"> emballages en EPS </w:t>
      </w:r>
      <w:r w:rsidRPr="004737F6">
        <w:rPr>
          <w:szCs w:val="18"/>
          <w:lang w:eastAsia="nl-BE"/>
        </w:rPr>
        <w:t>(non-</w:t>
      </w:r>
      <w:proofErr w:type="spellStart"/>
      <w:r w:rsidRPr="004737F6">
        <w:rPr>
          <w:szCs w:val="18"/>
          <w:lang w:eastAsia="nl-BE"/>
        </w:rPr>
        <w:t>food</w:t>
      </w:r>
      <w:proofErr w:type="spellEnd"/>
      <w:r w:rsidRPr="004737F6">
        <w:rPr>
          <w:szCs w:val="18"/>
          <w:lang w:eastAsia="nl-BE"/>
        </w:rPr>
        <w:t xml:space="preserve">) </w:t>
      </w:r>
      <w:r w:rsidR="007174D8">
        <w:t>et d</w:t>
      </w:r>
      <w:r w:rsidRPr="004737F6">
        <w:t>es DSM.</w:t>
      </w:r>
    </w:p>
    <w:p w14:paraId="6209EAA3" w14:textId="0D0C09D9" w:rsidR="0019477E" w:rsidRPr="004737F6" w:rsidRDefault="0019477E" w:rsidP="0019477E">
      <w:pPr>
        <w:pStyle w:val="Listepuces"/>
        <w:rPr>
          <w:lang w:val="fr-BE"/>
        </w:rPr>
      </w:pPr>
      <w:r w:rsidRPr="004737F6">
        <w:rPr>
          <w:lang w:val="fr-BE"/>
        </w:rPr>
        <w:t xml:space="preserve">Emballages </w:t>
      </w:r>
      <w:r w:rsidRPr="004737F6">
        <w:rPr>
          <w:b/>
          <w:lang w:val="fr-BE"/>
        </w:rPr>
        <w:t>M</w:t>
      </w:r>
      <w:r w:rsidRPr="004737F6">
        <w:rPr>
          <w:lang w:val="fr-BE"/>
        </w:rPr>
        <w:t xml:space="preserve">étalliques : boîtes de conserves, cannettes, aérosols alimentaires et cosmétiques, plats et barquettes en aluminium, couvercles et bouchons </w:t>
      </w:r>
      <w:r w:rsidR="006D0352" w:rsidRPr="004737F6">
        <w:rPr>
          <w:lang w:val="fr-BE"/>
        </w:rPr>
        <w:t>métalliques</w:t>
      </w:r>
    </w:p>
    <w:p w14:paraId="317B6022" w14:textId="77777777" w:rsidR="0019477E" w:rsidRPr="004737F6" w:rsidRDefault="0019477E" w:rsidP="0019477E">
      <w:pPr>
        <w:pStyle w:val="Listepuces"/>
        <w:rPr>
          <w:lang w:val="fr-BE"/>
        </w:rPr>
      </w:pPr>
      <w:r w:rsidRPr="004737F6">
        <w:rPr>
          <w:b/>
          <w:lang w:val="fr-BE"/>
        </w:rPr>
        <w:t>C</w:t>
      </w:r>
      <w:r w:rsidRPr="004737F6">
        <w:rPr>
          <w:lang w:val="fr-BE"/>
        </w:rPr>
        <w:t>artons à boissons : les cartons à boissons sont essentiellement composés de carton, d’une couche de plastique et souvent d’une couche d’aluminium.</w:t>
      </w:r>
    </w:p>
    <w:p w14:paraId="6523C7EC" w14:textId="77777777" w:rsidR="0019477E" w:rsidRPr="004737F6" w:rsidRDefault="0019477E" w:rsidP="0019477E">
      <w:pPr>
        <w:spacing w:after="0"/>
        <w:rPr>
          <w:lang w:val="fr-BE"/>
        </w:rPr>
      </w:pPr>
    </w:p>
    <w:p w14:paraId="181BD904" w14:textId="3526D2A0" w:rsidR="00053BA0" w:rsidRPr="004737F6" w:rsidRDefault="0019477E">
      <w:pPr>
        <w:rPr>
          <w:lang w:val="fr-BE"/>
        </w:rPr>
      </w:pPr>
      <w:r w:rsidRPr="004737F6">
        <w:rPr>
          <w:lang w:val="fr-BE"/>
        </w:rPr>
        <w:t xml:space="preserve">Ces emballages doivent être </w:t>
      </w:r>
      <w:r w:rsidRPr="004737F6">
        <w:rPr>
          <w:rFonts w:cstheme="minorHAnsi"/>
          <w:lang w:val="fr-BE"/>
        </w:rPr>
        <w:t>correctement vidés, égouttés ou raclés</w:t>
      </w:r>
      <w:r w:rsidRPr="004737F6">
        <w:rPr>
          <w:lang w:val="fr-BE"/>
        </w:rPr>
        <w:t xml:space="preserve"> et d’un volume maximum de 8 litres.</w:t>
      </w:r>
    </w:p>
    <w:p w14:paraId="4A9F9647" w14:textId="77777777" w:rsidR="0019477E" w:rsidRPr="00C57832" w:rsidRDefault="0019477E">
      <w:pPr>
        <w:rPr>
          <w:highlight w:val="yellow"/>
          <w:lang w:val="fr-BE"/>
        </w:rPr>
      </w:pPr>
    </w:p>
    <w:p w14:paraId="397C802E" w14:textId="77777777" w:rsidR="00681B3E" w:rsidRPr="00C57832" w:rsidRDefault="006B4934" w:rsidP="00451860">
      <w:pPr>
        <w:pStyle w:val="Listenumros"/>
        <w:numPr>
          <w:ilvl w:val="0"/>
          <w:numId w:val="6"/>
        </w:numPr>
        <w:rPr>
          <w:rFonts w:eastAsia="Times New Roman"/>
          <w:u w:val="single"/>
          <w:lang w:val="fr-BE" w:eastAsia="nl-NL"/>
        </w:rPr>
      </w:pPr>
      <w:r w:rsidRPr="00C57832">
        <w:rPr>
          <w:rFonts w:eastAsia="Times New Roman"/>
          <w:u w:val="single"/>
          <w:lang w:val="fr-BE" w:eastAsia="nl-NL"/>
        </w:rPr>
        <w:t>Description de la qualité</w:t>
      </w:r>
    </w:p>
    <w:p w14:paraId="397C802F" w14:textId="77777777" w:rsidR="006B4934" w:rsidRPr="00C57832" w:rsidRDefault="006B4934">
      <w:pPr>
        <w:rPr>
          <w:lang w:val="fr-BE"/>
        </w:rPr>
      </w:pPr>
    </w:p>
    <w:p w14:paraId="351DA3A4" w14:textId="77777777" w:rsidR="00B254D8" w:rsidRPr="00C57832" w:rsidRDefault="00B254D8" w:rsidP="00B254D8">
      <w:pPr>
        <w:rPr>
          <w:lang w:val="fr-BE"/>
        </w:rPr>
      </w:pPr>
      <w:r w:rsidRPr="00C57832">
        <w:rPr>
          <w:lang w:val="fr-BE"/>
        </w:rPr>
        <w:t>Les sacs autres que les sacs bleus PMC transparents ne pourront pas être considérés comme des sacs PMC et devront être refusés, ceci indépendamment de leur contenu.</w:t>
      </w:r>
    </w:p>
    <w:p w14:paraId="397C8030" w14:textId="0F752D81" w:rsidR="006B4934" w:rsidRPr="00C57832" w:rsidRDefault="006B4934">
      <w:pPr>
        <w:rPr>
          <w:lang w:val="fr-BE"/>
        </w:rPr>
      </w:pPr>
      <w:r w:rsidRPr="00C57832">
        <w:rPr>
          <w:lang w:val="fr-BE"/>
        </w:rPr>
        <w:t xml:space="preserve">En outre, aucun </w:t>
      </w:r>
      <w:r w:rsidR="00F17E08" w:rsidRPr="00C57832">
        <w:rPr>
          <w:lang w:val="fr-BE"/>
        </w:rPr>
        <w:t>objet</w:t>
      </w:r>
      <w:r w:rsidR="006545EC" w:rsidRPr="00C57832">
        <w:rPr>
          <w:lang w:val="fr-BE"/>
        </w:rPr>
        <w:t xml:space="preserve"> </w:t>
      </w:r>
      <w:r w:rsidRPr="00C57832">
        <w:rPr>
          <w:lang w:val="fr-BE"/>
        </w:rPr>
        <w:t>ne pourra être accroché aux liens de fermeture du sac PMC.</w:t>
      </w:r>
    </w:p>
    <w:p w14:paraId="05C8C521" w14:textId="4783B438" w:rsidR="00A546ED" w:rsidRPr="004737F6" w:rsidRDefault="00BC4749">
      <w:pPr>
        <w:rPr>
          <w:lang w:val="fr-BE"/>
        </w:rPr>
      </w:pPr>
      <w:r w:rsidRPr="00C57832">
        <w:rPr>
          <w:lang w:val="fr-BE"/>
        </w:rPr>
        <w:t xml:space="preserve">Sont </w:t>
      </w:r>
      <w:r w:rsidR="0022161F" w:rsidRPr="00C57832">
        <w:rPr>
          <w:lang w:val="fr-BE"/>
        </w:rPr>
        <w:t xml:space="preserve">considérés </w:t>
      </w:r>
      <w:r w:rsidR="0022161F" w:rsidRPr="004737F6">
        <w:rPr>
          <w:lang w:val="fr-BE"/>
        </w:rPr>
        <w:t xml:space="preserve">comme </w:t>
      </w:r>
      <w:r w:rsidR="00A546ED" w:rsidRPr="004737F6">
        <w:rPr>
          <w:lang w:val="fr-BE"/>
        </w:rPr>
        <w:t>fautes</w:t>
      </w:r>
      <w:r w:rsidR="00A91AC2" w:rsidRPr="004737F6">
        <w:rPr>
          <w:lang w:val="fr-BE"/>
        </w:rPr>
        <w:t>/erreurs</w:t>
      </w:r>
      <w:r w:rsidR="0022161F" w:rsidRPr="004737F6">
        <w:rPr>
          <w:lang w:val="fr-BE"/>
        </w:rPr>
        <w:t xml:space="preserve"> et n</w:t>
      </w:r>
      <w:r w:rsidR="00B74485" w:rsidRPr="004737F6">
        <w:rPr>
          <w:lang w:val="fr-BE"/>
        </w:rPr>
        <w:t>e sont pas admis dans le sac PMC</w:t>
      </w:r>
      <w:r w:rsidR="00A546ED" w:rsidRPr="004737F6">
        <w:rPr>
          <w:lang w:val="fr-BE"/>
        </w:rPr>
        <w:t xml:space="preserve"> </w:t>
      </w:r>
      <w:r w:rsidR="00B74485" w:rsidRPr="004737F6">
        <w:rPr>
          <w:lang w:val="fr-BE"/>
        </w:rPr>
        <w:t>(liste non exhaustive)</w:t>
      </w:r>
      <w:r w:rsidR="00A546ED" w:rsidRPr="004737F6">
        <w:rPr>
          <w:lang w:val="fr-BE"/>
        </w:rPr>
        <w:t>, sans devoir nécessairement refuser le sac pour cette raison et y apposer un autocollant de refus</w:t>
      </w:r>
      <w:r w:rsidR="00B74485" w:rsidRPr="004737F6">
        <w:rPr>
          <w:lang w:val="fr-BE"/>
        </w:rPr>
        <w:t xml:space="preserve"> : </w:t>
      </w:r>
    </w:p>
    <w:p w14:paraId="2740795E" w14:textId="06696EA8" w:rsidR="00A546ED" w:rsidRPr="004737F6" w:rsidRDefault="00A546ED" w:rsidP="00BB166A">
      <w:pPr>
        <w:numPr>
          <w:ilvl w:val="1"/>
          <w:numId w:val="27"/>
        </w:numPr>
        <w:spacing w:after="0"/>
        <w:rPr>
          <w:lang w:val="fr-BE"/>
        </w:rPr>
      </w:pPr>
      <w:r w:rsidRPr="004737F6">
        <w:rPr>
          <w:lang w:val="fr-BE"/>
        </w:rPr>
        <w:t xml:space="preserve">Les non-emballages, en </w:t>
      </w:r>
      <w:proofErr w:type="gramStart"/>
      <w:r w:rsidRPr="004737F6">
        <w:rPr>
          <w:lang w:val="fr-BE"/>
        </w:rPr>
        <w:t>particulier:</w:t>
      </w:r>
      <w:proofErr w:type="gramEnd"/>
    </w:p>
    <w:p w14:paraId="091A1FA7" w14:textId="5A2E74F4" w:rsidR="00A546ED" w:rsidRPr="004737F6" w:rsidRDefault="00A546ED" w:rsidP="00BB166A">
      <w:pPr>
        <w:pStyle w:val="Paragraphedeliste"/>
        <w:numPr>
          <w:ilvl w:val="2"/>
          <w:numId w:val="28"/>
        </w:numPr>
        <w:spacing w:after="0"/>
        <w:rPr>
          <w:lang w:val="fr-BE"/>
        </w:rPr>
      </w:pPr>
      <w:r w:rsidRPr="004737F6">
        <w:rPr>
          <w:lang w:val="fr-BE"/>
        </w:rPr>
        <w:t>Les grands objets en plastiques (d’un volume de plus de 8l)</w:t>
      </w:r>
    </w:p>
    <w:p w14:paraId="4349A99B" w14:textId="7BFC6789" w:rsidR="0027190A" w:rsidRPr="004737F6" w:rsidRDefault="0027190A" w:rsidP="00BB166A">
      <w:pPr>
        <w:pStyle w:val="Paragraphedeliste"/>
        <w:numPr>
          <w:ilvl w:val="2"/>
          <w:numId w:val="28"/>
        </w:numPr>
        <w:spacing w:after="0"/>
        <w:rPr>
          <w:lang w:val="fr-BE"/>
        </w:rPr>
      </w:pPr>
      <w:r w:rsidRPr="004737F6">
        <w:rPr>
          <w:lang w:val="fr-BE"/>
        </w:rPr>
        <w:t>Les objets en plastiques avec éléments non plastiques</w:t>
      </w:r>
    </w:p>
    <w:p w14:paraId="2D4823EE" w14:textId="4C570C08" w:rsidR="00CE79D0" w:rsidRPr="004737F6" w:rsidRDefault="00CE79D0" w:rsidP="00BB166A">
      <w:pPr>
        <w:pStyle w:val="Paragraphedeliste"/>
        <w:numPr>
          <w:ilvl w:val="1"/>
          <w:numId w:val="29"/>
        </w:numPr>
        <w:rPr>
          <w:lang w:val="fr-BE"/>
        </w:rPr>
      </w:pPr>
      <w:r w:rsidRPr="004737F6">
        <w:rPr>
          <w:lang w:val="fr-BE"/>
        </w:rPr>
        <w:t xml:space="preserve">Tous les emballages munis de bouchon de sécurité enfant (bouchon à pousser et tourner) </w:t>
      </w:r>
      <w:r w:rsidR="00A07C58" w:rsidRPr="004737F6">
        <w:rPr>
          <w:lang w:val="fr-BE"/>
        </w:rPr>
        <w:t>ou</w:t>
      </w:r>
      <w:r w:rsidR="001A6BE8" w:rsidRPr="004737F6">
        <w:rPr>
          <w:color w:val="FF0000"/>
          <w:lang w:val="fr-BE"/>
        </w:rPr>
        <w:t xml:space="preserve"> </w:t>
      </w:r>
      <w:r w:rsidR="00387B0E" w:rsidRPr="004737F6">
        <w:rPr>
          <w:lang w:val="fr-BE"/>
        </w:rPr>
        <w:t>qui doivent être collectés dans la</w:t>
      </w:r>
      <w:r w:rsidR="001A6BE8" w:rsidRPr="004737F6">
        <w:rPr>
          <w:lang w:val="fr-BE"/>
        </w:rPr>
        <w:t xml:space="preserve"> fracti</w:t>
      </w:r>
      <w:r w:rsidR="00387B0E" w:rsidRPr="004737F6">
        <w:rPr>
          <w:lang w:val="fr-BE"/>
        </w:rPr>
        <w:t>on</w:t>
      </w:r>
      <w:r w:rsidR="001A6BE8" w:rsidRPr="004737F6">
        <w:rPr>
          <w:lang w:val="fr-BE"/>
        </w:rPr>
        <w:t xml:space="preserve"> </w:t>
      </w:r>
      <w:r w:rsidR="00630F86" w:rsidRPr="004737F6">
        <w:rPr>
          <w:lang w:val="fr-BE"/>
        </w:rPr>
        <w:t>« </w:t>
      </w:r>
      <w:r w:rsidR="001A6BE8" w:rsidRPr="004737F6">
        <w:rPr>
          <w:lang w:val="fr-BE"/>
        </w:rPr>
        <w:t>KGA</w:t>
      </w:r>
      <w:r w:rsidR="00630F86" w:rsidRPr="004737F6">
        <w:rPr>
          <w:lang w:val="fr-BE"/>
        </w:rPr>
        <w:t> »</w:t>
      </w:r>
      <w:r w:rsidR="001A6BE8" w:rsidRPr="004737F6">
        <w:rPr>
          <w:lang w:val="fr-BE"/>
        </w:rPr>
        <w:t xml:space="preserve"> (</w:t>
      </w:r>
      <w:r w:rsidR="00387B0E" w:rsidRPr="004737F6">
        <w:rPr>
          <w:lang w:val="fr-BE"/>
        </w:rPr>
        <w:t>en Région flamande</w:t>
      </w:r>
      <w:r w:rsidR="001A6BE8" w:rsidRPr="004737F6">
        <w:rPr>
          <w:lang w:val="fr-BE"/>
        </w:rPr>
        <w:t xml:space="preserve">), </w:t>
      </w:r>
      <w:r w:rsidR="00387B0E" w:rsidRPr="004737F6">
        <w:rPr>
          <w:lang w:val="fr-BE"/>
        </w:rPr>
        <w:t>dans la</w:t>
      </w:r>
      <w:r w:rsidR="001A6BE8" w:rsidRPr="004737F6">
        <w:rPr>
          <w:lang w:val="fr-BE"/>
        </w:rPr>
        <w:t xml:space="preserve"> fracti</w:t>
      </w:r>
      <w:r w:rsidR="00387B0E" w:rsidRPr="004737F6">
        <w:rPr>
          <w:lang w:val="fr-BE"/>
        </w:rPr>
        <w:t>on</w:t>
      </w:r>
      <w:r w:rsidR="001A6BE8" w:rsidRPr="004737F6">
        <w:rPr>
          <w:lang w:val="fr-BE"/>
        </w:rPr>
        <w:t xml:space="preserve"> </w:t>
      </w:r>
      <w:r w:rsidR="00630F86" w:rsidRPr="004737F6">
        <w:rPr>
          <w:lang w:val="fr-BE"/>
        </w:rPr>
        <w:t>« </w:t>
      </w:r>
      <w:r w:rsidR="001A6BE8" w:rsidRPr="004737F6">
        <w:rPr>
          <w:lang w:val="fr-BE"/>
        </w:rPr>
        <w:t>Déchets Spéciaux des Ménages (DSM)</w:t>
      </w:r>
      <w:r w:rsidR="00630F86" w:rsidRPr="004737F6">
        <w:rPr>
          <w:lang w:val="fr-BE"/>
        </w:rPr>
        <w:t> »</w:t>
      </w:r>
      <w:r w:rsidR="001A6BE8" w:rsidRPr="004737F6">
        <w:rPr>
          <w:lang w:val="fr-BE"/>
        </w:rPr>
        <w:t xml:space="preserve"> </w:t>
      </w:r>
      <w:r w:rsidR="00AB2B7D" w:rsidRPr="004737F6">
        <w:rPr>
          <w:lang w:val="fr-BE"/>
        </w:rPr>
        <w:t>en Région wallonne et</w:t>
      </w:r>
      <w:r w:rsidR="001A6BE8" w:rsidRPr="004737F6">
        <w:rPr>
          <w:lang w:val="fr-BE"/>
        </w:rPr>
        <w:t xml:space="preserve"> </w:t>
      </w:r>
      <w:r w:rsidR="00AB2B7D" w:rsidRPr="004737F6">
        <w:rPr>
          <w:lang w:val="fr-BE"/>
        </w:rPr>
        <w:t>dans la</w:t>
      </w:r>
      <w:r w:rsidR="001A6BE8" w:rsidRPr="004737F6">
        <w:rPr>
          <w:lang w:val="fr-BE"/>
        </w:rPr>
        <w:t xml:space="preserve"> fracti</w:t>
      </w:r>
      <w:r w:rsidR="00AB2B7D" w:rsidRPr="004737F6">
        <w:rPr>
          <w:lang w:val="fr-BE"/>
        </w:rPr>
        <w:t>on</w:t>
      </w:r>
      <w:r w:rsidR="00630F86" w:rsidRPr="004737F6">
        <w:rPr>
          <w:lang w:val="fr-BE"/>
        </w:rPr>
        <w:t xml:space="preserve"> « Déchets chimiques ménagers (DCM) » en Région de</w:t>
      </w:r>
      <w:r w:rsidR="001A6BE8" w:rsidRPr="004737F6">
        <w:rPr>
          <w:lang w:val="fr-BE"/>
        </w:rPr>
        <w:t xml:space="preserve"> Bru</w:t>
      </w:r>
      <w:r w:rsidR="00630F86" w:rsidRPr="004737F6">
        <w:rPr>
          <w:lang w:val="fr-BE"/>
        </w:rPr>
        <w:t>x</w:t>
      </w:r>
      <w:r w:rsidR="001A6BE8" w:rsidRPr="004737F6">
        <w:rPr>
          <w:lang w:val="fr-BE"/>
        </w:rPr>
        <w:t>el</w:t>
      </w:r>
      <w:r w:rsidR="00630F86" w:rsidRPr="004737F6">
        <w:rPr>
          <w:lang w:val="fr-BE"/>
        </w:rPr>
        <w:t>le</w:t>
      </w:r>
      <w:r w:rsidR="001A6BE8" w:rsidRPr="004737F6">
        <w:rPr>
          <w:lang w:val="fr-BE"/>
        </w:rPr>
        <w:t>s</w:t>
      </w:r>
      <w:r w:rsidR="00630F86" w:rsidRPr="004737F6">
        <w:rPr>
          <w:lang w:val="fr-BE"/>
        </w:rPr>
        <w:t>-Capitale</w:t>
      </w:r>
      <w:r w:rsidR="001A6BE8" w:rsidRPr="004737F6">
        <w:rPr>
          <w:lang w:val="fr-BE"/>
        </w:rPr>
        <w:t xml:space="preserve"> </w:t>
      </w:r>
    </w:p>
    <w:p w14:paraId="7DE6DDFF" w14:textId="2CA2B732" w:rsidR="00D1105D" w:rsidRPr="004737F6" w:rsidRDefault="00D1105D" w:rsidP="00CE79D0">
      <w:pPr>
        <w:pStyle w:val="Paragraphedeliste"/>
        <w:numPr>
          <w:ilvl w:val="0"/>
          <w:numId w:val="7"/>
        </w:numPr>
        <w:spacing w:after="0"/>
        <w:ind w:hanging="357"/>
        <w:rPr>
          <w:lang w:val="fr-BE"/>
        </w:rPr>
      </w:pPr>
      <w:r w:rsidRPr="004737F6">
        <w:rPr>
          <w:lang w:val="fr-BE"/>
        </w:rPr>
        <w:t>Les déchets organiques</w:t>
      </w:r>
    </w:p>
    <w:p w14:paraId="63233C1C" w14:textId="0B23F7D2" w:rsidR="005C1526" w:rsidRPr="004737F6" w:rsidRDefault="005C1526" w:rsidP="00CE79D0">
      <w:pPr>
        <w:pStyle w:val="Paragraphedeliste"/>
        <w:numPr>
          <w:ilvl w:val="0"/>
          <w:numId w:val="7"/>
        </w:numPr>
        <w:spacing w:after="0"/>
        <w:ind w:hanging="357"/>
        <w:rPr>
          <w:lang w:val="fr-BE"/>
        </w:rPr>
      </w:pPr>
      <w:proofErr w:type="gramStart"/>
      <w:r w:rsidRPr="004737F6">
        <w:rPr>
          <w:lang w:val="fr-BE"/>
        </w:rPr>
        <w:t>Les huiles moteurs</w:t>
      </w:r>
      <w:proofErr w:type="gramEnd"/>
    </w:p>
    <w:p w14:paraId="59C5DE4E" w14:textId="77777777" w:rsidR="005C1526" w:rsidRPr="004737F6" w:rsidRDefault="005C1526" w:rsidP="00A546ED">
      <w:pPr>
        <w:pStyle w:val="Paragraphedeliste"/>
        <w:numPr>
          <w:ilvl w:val="0"/>
          <w:numId w:val="7"/>
        </w:numPr>
        <w:spacing w:after="0"/>
        <w:rPr>
          <w:lang w:val="fr-BE"/>
        </w:rPr>
      </w:pPr>
      <w:r w:rsidRPr="004737F6">
        <w:rPr>
          <w:lang w:val="fr-BE"/>
        </w:rPr>
        <w:t>Les tubes de colles et silicones</w:t>
      </w:r>
    </w:p>
    <w:p w14:paraId="16EE31E7" w14:textId="77777777" w:rsidR="005C1526" w:rsidRPr="004737F6" w:rsidRDefault="005C1526" w:rsidP="005C1526">
      <w:pPr>
        <w:pStyle w:val="Paragraphedeliste"/>
        <w:numPr>
          <w:ilvl w:val="0"/>
          <w:numId w:val="7"/>
        </w:numPr>
        <w:rPr>
          <w:lang w:val="fr-BE"/>
        </w:rPr>
      </w:pPr>
      <w:r w:rsidRPr="004737F6">
        <w:rPr>
          <w:lang w:val="fr-BE"/>
        </w:rPr>
        <w:t xml:space="preserve">Les langes et textiles sanitaires </w:t>
      </w:r>
    </w:p>
    <w:p w14:paraId="4AFD1D0B" w14:textId="3C9FA732" w:rsidR="005C1526" w:rsidRPr="004737F6" w:rsidRDefault="005C1526" w:rsidP="005C1526">
      <w:pPr>
        <w:pStyle w:val="Paragraphedeliste"/>
        <w:numPr>
          <w:ilvl w:val="0"/>
          <w:numId w:val="7"/>
        </w:numPr>
        <w:rPr>
          <w:strike/>
          <w:lang w:val="fr-BE"/>
        </w:rPr>
      </w:pPr>
      <w:r w:rsidRPr="004737F6">
        <w:rPr>
          <w:lang w:val="fr-BE"/>
        </w:rPr>
        <w:t>Les dispositifs médicaux</w:t>
      </w:r>
      <w:r w:rsidR="00B91BA5" w:rsidRPr="004737F6">
        <w:rPr>
          <w:lang w:val="fr-BE"/>
        </w:rPr>
        <w:t xml:space="preserve">, </w:t>
      </w:r>
      <w:r w:rsidR="00556450" w:rsidRPr="004737F6">
        <w:rPr>
          <w:szCs w:val="18"/>
          <w:lang w:val="fr-BE"/>
        </w:rPr>
        <w:t>en particulier les seringues à</w:t>
      </w:r>
      <w:r w:rsidR="00B91BA5" w:rsidRPr="004737F6">
        <w:rPr>
          <w:szCs w:val="18"/>
          <w:lang w:val="fr-BE"/>
        </w:rPr>
        <w:t xml:space="preserve"> injecti</w:t>
      </w:r>
      <w:r w:rsidR="00556450" w:rsidRPr="004737F6">
        <w:rPr>
          <w:szCs w:val="18"/>
          <w:lang w:val="fr-BE"/>
        </w:rPr>
        <w:t>o</w:t>
      </w:r>
      <w:r w:rsidR="00B91BA5" w:rsidRPr="004737F6">
        <w:rPr>
          <w:szCs w:val="18"/>
          <w:lang w:val="fr-BE"/>
        </w:rPr>
        <w:t>n</w:t>
      </w:r>
      <w:r w:rsidR="00B91BA5" w:rsidRPr="004737F6">
        <w:rPr>
          <w:lang w:val="fr-BE"/>
        </w:rPr>
        <w:t xml:space="preserve"> </w:t>
      </w:r>
      <w:r w:rsidR="00E3126B" w:rsidRPr="004737F6">
        <w:rPr>
          <w:strike/>
          <w:lang w:val="fr-BE"/>
        </w:rPr>
        <w:t xml:space="preserve"> </w:t>
      </w:r>
    </w:p>
    <w:p w14:paraId="6B501CB0" w14:textId="77777777" w:rsidR="005C1526" w:rsidRPr="004737F6" w:rsidRDefault="005C1526" w:rsidP="005C1526">
      <w:pPr>
        <w:pStyle w:val="Paragraphedeliste"/>
        <w:numPr>
          <w:ilvl w:val="0"/>
          <w:numId w:val="7"/>
        </w:numPr>
        <w:rPr>
          <w:lang w:val="fr-BE"/>
        </w:rPr>
      </w:pPr>
      <w:r w:rsidRPr="004737F6">
        <w:rPr>
          <w:lang w:val="fr-BE"/>
        </w:rPr>
        <w:t>Les textiles et le cuir</w:t>
      </w:r>
    </w:p>
    <w:p w14:paraId="7B698924" w14:textId="77777777" w:rsidR="005C1526" w:rsidRPr="004737F6" w:rsidRDefault="005C1526" w:rsidP="005C1526">
      <w:pPr>
        <w:pStyle w:val="Paragraphedeliste"/>
        <w:numPr>
          <w:ilvl w:val="0"/>
          <w:numId w:val="7"/>
        </w:numPr>
        <w:rPr>
          <w:lang w:val="fr-BE"/>
        </w:rPr>
      </w:pPr>
      <w:r w:rsidRPr="004737F6">
        <w:rPr>
          <w:lang w:val="fr-BE"/>
        </w:rPr>
        <w:t>Le verre, céramique, pierre, …</w:t>
      </w:r>
    </w:p>
    <w:p w14:paraId="1ABF1800" w14:textId="04896B6A" w:rsidR="005C1526" w:rsidRPr="004737F6" w:rsidRDefault="005C1526" w:rsidP="005C1526">
      <w:pPr>
        <w:pStyle w:val="Paragraphedeliste"/>
        <w:numPr>
          <w:ilvl w:val="0"/>
          <w:numId w:val="7"/>
        </w:numPr>
        <w:rPr>
          <w:lang w:val="fr-BE"/>
        </w:rPr>
      </w:pPr>
      <w:r w:rsidRPr="004737F6">
        <w:rPr>
          <w:lang w:val="fr-BE"/>
        </w:rPr>
        <w:t>Le papier</w:t>
      </w:r>
      <w:r w:rsidR="00142CBA" w:rsidRPr="004737F6">
        <w:rPr>
          <w:lang w:val="fr-BE"/>
        </w:rPr>
        <w:t>/</w:t>
      </w:r>
      <w:r w:rsidRPr="004737F6">
        <w:rPr>
          <w:lang w:val="fr-BE"/>
        </w:rPr>
        <w:t>carton</w:t>
      </w:r>
    </w:p>
    <w:p w14:paraId="30087D76" w14:textId="77777777" w:rsidR="005C1526" w:rsidRPr="004737F6" w:rsidRDefault="005C1526" w:rsidP="005C1526">
      <w:pPr>
        <w:pStyle w:val="Paragraphedeliste"/>
        <w:numPr>
          <w:ilvl w:val="0"/>
          <w:numId w:val="7"/>
        </w:numPr>
        <w:rPr>
          <w:lang w:val="fr-BE"/>
        </w:rPr>
      </w:pPr>
      <w:r w:rsidRPr="004737F6">
        <w:rPr>
          <w:lang w:val="fr-BE"/>
        </w:rPr>
        <w:t xml:space="preserve">Le bois </w:t>
      </w:r>
    </w:p>
    <w:p w14:paraId="50C1D9F4" w14:textId="5EFB9B74" w:rsidR="005C1526" w:rsidRPr="004737F6" w:rsidRDefault="00B91BA5" w:rsidP="005C1526">
      <w:pPr>
        <w:pStyle w:val="Paragraphedeliste"/>
        <w:numPr>
          <w:ilvl w:val="0"/>
          <w:numId w:val="7"/>
        </w:numPr>
        <w:rPr>
          <w:strike/>
          <w:lang w:val="fr-BE"/>
        </w:rPr>
      </w:pPr>
      <w:r w:rsidRPr="004737F6">
        <w:rPr>
          <w:lang w:val="fr-BE"/>
        </w:rPr>
        <w:t>EPS n</w:t>
      </w:r>
      <w:r w:rsidR="00E3126B" w:rsidRPr="004737F6">
        <w:rPr>
          <w:lang w:val="fr-BE"/>
        </w:rPr>
        <w:t>on-</w:t>
      </w:r>
      <w:proofErr w:type="spellStart"/>
      <w:r w:rsidR="00E3126B" w:rsidRPr="004737F6">
        <w:rPr>
          <w:lang w:val="fr-BE"/>
        </w:rPr>
        <w:t>food</w:t>
      </w:r>
      <w:proofErr w:type="spellEnd"/>
    </w:p>
    <w:p w14:paraId="37D3476C" w14:textId="3133637B" w:rsidR="005C1526" w:rsidRPr="004737F6" w:rsidRDefault="005C1526" w:rsidP="005C1526">
      <w:pPr>
        <w:pStyle w:val="Paragraphedeliste"/>
        <w:numPr>
          <w:ilvl w:val="0"/>
          <w:numId w:val="7"/>
        </w:numPr>
        <w:rPr>
          <w:lang w:val="fr-BE"/>
        </w:rPr>
      </w:pPr>
      <w:r w:rsidRPr="004737F6">
        <w:rPr>
          <w:lang w:val="fr-BE"/>
        </w:rPr>
        <w:t xml:space="preserve">Les films agricoles et/ou industriels </w:t>
      </w:r>
    </w:p>
    <w:p w14:paraId="6ADFC67E" w14:textId="77BB158C" w:rsidR="005C1526" w:rsidRPr="00C57832" w:rsidRDefault="005C1526" w:rsidP="00142CBA">
      <w:pPr>
        <w:pStyle w:val="Paragraphedeliste"/>
        <w:numPr>
          <w:ilvl w:val="0"/>
          <w:numId w:val="7"/>
        </w:numPr>
        <w:rPr>
          <w:lang w:val="fr-BE"/>
        </w:rPr>
      </w:pPr>
      <w:r w:rsidRPr="004737F6">
        <w:rPr>
          <w:lang w:val="fr-BE"/>
        </w:rPr>
        <w:t>Les appareils électroména</w:t>
      </w:r>
      <w:r w:rsidRPr="00C57832">
        <w:rPr>
          <w:lang w:val="fr-BE"/>
        </w:rPr>
        <w:t>gers ainsi que les appareils et objets comportant des composants électriques, en ce compris les câbles et rallonges électriques, piles et accumulateurs</w:t>
      </w:r>
    </w:p>
    <w:p w14:paraId="523A8BA0" w14:textId="77F2AAAA" w:rsidR="00A1402F" w:rsidRPr="00C57832" w:rsidRDefault="005C1526" w:rsidP="00142CBA">
      <w:pPr>
        <w:pStyle w:val="Paragraphedeliste"/>
        <w:numPr>
          <w:ilvl w:val="0"/>
          <w:numId w:val="7"/>
        </w:numPr>
        <w:rPr>
          <w:lang w:val="fr-BE"/>
        </w:rPr>
      </w:pPr>
      <w:r w:rsidRPr="00C57832">
        <w:rPr>
          <w:lang w:val="fr-BE"/>
        </w:rPr>
        <w:lastRenderedPageBreak/>
        <w:t>Dans le sac PMC, les sacs (types sacs de caisses) remplis et fermés</w:t>
      </w:r>
    </w:p>
    <w:p w14:paraId="478C8465" w14:textId="163BE666" w:rsidR="00142CBA" w:rsidRPr="00C57832" w:rsidRDefault="00142CBA" w:rsidP="00E00E32">
      <w:pPr>
        <w:pStyle w:val="Listenumros"/>
        <w:rPr>
          <w:lang w:val="fr-BE"/>
        </w:rPr>
      </w:pPr>
      <w:r w:rsidRPr="00C57832">
        <w:rPr>
          <w:lang w:val="fr-BE"/>
        </w:rPr>
        <w:t xml:space="preserve">Les non-emballages susceptibles d’être considérés comme un emballage par un citoyen lambda (par ex. boîte à tartines, </w:t>
      </w:r>
      <w:proofErr w:type="spellStart"/>
      <w:r w:rsidRPr="00C57832">
        <w:rPr>
          <w:lang w:val="fr-BE"/>
        </w:rPr>
        <w:t>tupperware</w:t>
      </w:r>
      <w:proofErr w:type="spellEnd"/>
      <w:r w:rsidRPr="00C57832">
        <w:rPr>
          <w:lang w:val="fr-BE"/>
        </w:rPr>
        <w:t>) ne sont jamais notés co</w:t>
      </w:r>
      <w:r w:rsidRPr="004737F6">
        <w:rPr>
          <w:lang w:val="fr-BE"/>
        </w:rPr>
        <w:t>mme faute</w:t>
      </w:r>
      <w:r w:rsidR="00E15471" w:rsidRPr="004737F6">
        <w:rPr>
          <w:lang w:val="fr-BE"/>
        </w:rPr>
        <w:t>/erreur</w:t>
      </w:r>
      <w:r w:rsidRPr="004737F6">
        <w:rPr>
          <w:lang w:val="fr-BE"/>
        </w:rPr>
        <w:t>.</w:t>
      </w:r>
      <w:r w:rsidRPr="00C57832">
        <w:rPr>
          <w:lang w:val="fr-BE"/>
        </w:rPr>
        <w:t xml:space="preserve"> </w:t>
      </w:r>
    </w:p>
    <w:p w14:paraId="4242B900" w14:textId="77777777" w:rsidR="00384F3A" w:rsidRPr="00C57832" w:rsidRDefault="00384F3A" w:rsidP="00384F3A">
      <w:pPr>
        <w:spacing w:after="0"/>
        <w:rPr>
          <w:rFonts w:eastAsia="Times New Roman"/>
          <w:highlight w:val="cyan"/>
          <w:lang w:val="fr-BE" w:eastAsia="nl-NL"/>
        </w:rPr>
      </w:pPr>
    </w:p>
    <w:p w14:paraId="71A4B744" w14:textId="1E5F92A2" w:rsidR="00F85F8D" w:rsidRPr="00C57832" w:rsidRDefault="00E3264F" w:rsidP="00F85F8D">
      <w:pPr>
        <w:pStyle w:val="Listenumros"/>
        <w:rPr>
          <w:highlight w:val="yellow"/>
          <w:lang w:val="fr-BE"/>
        </w:rPr>
      </w:pPr>
      <w:r w:rsidRPr="00C57832">
        <w:rPr>
          <w:highlight w:val="yellow"/>
          <w:lang w:val="fr-BE"/>
        </w:rPr>
        <w:t>La disposition ci-dessous (en italique) peut entrer en vigueur au plus tôt le 1</w:t>
      </w:r>
      <w:r w:rsidRPr="00C57832">
        <w:rPr>
          <w:highlight w:val="yellow"/>
          <w:vertAlign w:val="superscript"/>
          <w:lang w:val="fr-BE"/>
        </w:rPr>
        <w:t>er</w:t>
      </w:r>
      <w:r w:rsidRPr="00C57832">
        <w:rPr>
          <w:highlight w:val="yellow"/>
          <w:lang w:val="fr-BE"/>
        </w:rPr>
        <w:t xml:space="preserve"> juin 2021, après avis positif du Comité mixte</w:t>
      </w:r>
      <w:r w:rsidR="004C6BB3">
        <w:rPr>
          <w:rStyle w:val="Appelnotedebasdep"/>
          <w:highlight w:val="yellow"/>
          <w:lang w:val="fr-BE"/>
        </w:rPr>
        <w:footnoteReference w:id="26"/>
      </w:r>
      <w:r w:rsidR="004C6BB3">
        <w:rPr>
          <w:highlight w:val="yellow"/>
          <w:lang w:val="fr-BE"/>
        </w:rPr>
        <w:t> :</w:t>
      </w:r>
    </w:p>
    <w:p w14:paraId="466D5808" w14:textId="77777777" w:rsidR="00F85F8D" w:rsidRPr="00C57832" w:rsidRDefault="00F85F8D" w:rsidP="00384F3A">
      <w:pPr>
        <w:spacing w:after="0"/>
        <w:rPr>
          <w:rFonts w:eastAsia="Times New Roman"/>
          <w:lang w:val="fr-BE" w:eastAsia="nl-NL"/>
        </w:rPr>
      </w:pPr>
    </w:p>
    <w:p w14:paraId="0810F5FA" w14:textId="52DB698E" w:rsidR="00384F3A" w:rsidRPr="00C57832" w:rsidRDefault="00A86453" w:rsidP="00E3126B">
      <w:pPr>
        <w:spacing w:after="0"/>
        <w:ind w:left="1416"/>
        <w:rPr>
          <w:rFonts w:eastAsia="Times New Roman"/>
          <w:i/>
          <w:lang w:val="fr-BE" w:eastAsia="nl-NL"/>
        </w:rPr>
      </w:pPr>
      <w:r w:rsidRPr="00C57832">
        <w:rPr>
          <w:rFonts w:eastAsia="Times New Roman"/>
          <w:i/>
          <w:lang w:val="fr-BE" w:eastAsia="nl-NL"/>
        </w:rPr>
        <w:t>Les s</w:t>
      </w:r>
      <w:r w:rsidR="00384F3A" w:rsidRPr="00C57832">
        <w:rPr>
          <w:rFonts w:eastAsia="Times New Roman"/>
          <w:i/>
          <w:lang w:val="fr-BE" w:eastAsia="nl-NL"/>
        </w:rPr>
        <w:t>a</w:t>
      </w:r>
      <w:r w:rsidRPr="00C57832">
        <w:rPr>
          <w:rFonts w:eastAsia="Times New Roman"/>
          <w:i/>
          <w:lang w:val="fr-BE" w:eastAsia="nl-NL"/>
        </w:rPr>
        <w:t>cs au contenu non conforme sont répartis en « catégorie</w:t>
      </w:r>
      <w:r w:rsidR="00384F3A" w:rsidRPr="00C57832">
        <w:rPr>
          <w:rFonts w:eastAsia="Times New Roman"/>
          <w:i/>
          <w:lang w:val="fr-BE" w:eastAsia="nl-NL"/>
        </w:rPr>
        <w:t xml:space="preserve"> 1</w:t>
      </w:r>
      <w:r w:rsidRPr="00C57832">
        <w:rPr>
          <w:rFonts w:eastAsia="Times New Roman"/>
          <w:i/>
          <w:lang w:val="fr-BE" w:eastAsia="nl-NL"/>
        </w:rPr>
        <w:t> »</w:t>
      </w:r>
      <w:r w:rsidR="00384F3A" w:rsidRPr="00C57832">
        <w:rPr>
          <w:rFonts w:eastAsia="Times New Roman"/>
          <w:i/>
          <w:lang w:val="fr-BE" w:eastAsia="nl-NL"/>
        </w:rPr>
        <w:t xml:space="preserve"> e</w:t>
      </w:r>
      <w:r w:rsidRPr="00C57832">
        <w:rPr>
          <w:rFonts w:eastAsia="Times New Roman"/>
          <w:i/>
          <w:lang w:val="fr-BE" w:eastAsia="nl-NL"/>
        </w:rPr>
        <w:t>t</w:t>
      </w:r>
      <w:r w:rsidR="00384F3A" w:rsidRPr="00C57832">
        <w:rPr>
          <w:rFonts w:eastAsia="Times New Roman"/>
          <w:i/>
          <w:lang w:val="fr-BE" w:eastAsia="nl-NL"/>
        </w:rPr>
        <w:t xml:space="preserve"> </w:t>
      </w:r>
      <w:r w:rsidRPr="00C57832">
        <w:rPr>
          <w:rFonts w:eastAsia="Times New Roman"/>
          <w:i/>
          <w:lang w:val="fr-BE" w:eastAsia="nl-NL"/>
        </w:rPr>
        <w:t>« catégorie</w:t>
      </w:r>
      <w:r w:rsidR="00384F3A" w:rsidRPr="00C57832">
        <w:rPr>
          <w:rFonts w:eastAsia="Times New Roman"/>
          <w:i/>
          <w:lang w:val="fr-BE" w:eastAsia="nl-NL"/>
        </w:rPr>
        <w:t xml:space="preserve"> 2</w:t>
      </w:r>
      <w:r w:rsidRPr="00C57832">
        <w:rPr>
          <w:rFonts w:eastAsia="Times New Roman"/>
          <w:i/>
          <w:lang w:val="fr-BE" w:eastAsia="nl-NL"/>
        </w:rPr>
        <w:t> »</w:t>
      </w:r>
      <w:r w:rsidR="00384F3A" w:rsidRPr="00C57832">
        <w:rPr>
          <w:rFonts w:eastAsia="Times New Roman"/>
          <w:i/>
          <w:lang w:val="fr-BE" w:eastAsia="nl-NL"/>
        </w:rPr>
        <w:t xml:space="preserve">. </w:t>
      </w:r>
      <w:r w:rsidRPr="00C57832">
        <w:rPr>
          <w:rFonts w:eastAsia="Times New Roman"/>
          <w:i/>
          <w:lang w:val="fr-BE" w:eastAsia="nl-NL"/>
        </w:rPr>
        <w:t>Seuls les sacs de</w:t>
      </w:r>
      <w:r w:rsidR="00384F3A" w:rsidRPr="00C57832">
        <w:rPr>
          <w:rFonts w:eastAsia="Times New Roman"/>
          <w:i/>
          <w:lang w:val="fr-BE" w:eastAsia="nl-NL"/>
        </w:rPr>
        <w:t xml:space="preserve"> </w:t>
      </w:r>
      <w:r w:rsidRPr="00C57832">
        <w:rPr>
          <w:rFonts w:eastAsia="Times New Roman"/>
          <w:i/>
          <w:lang w:val="fr-BE" w:eastAsia="nl-NL"/>
        </w:rPr>
        <w:t>catégorie</w:t>
      </w:r>
      <w:r w:rsidR="00384F3A" w:rsidRPr="00C57832">
        <w:rPr>
          <w:rFonts w:eastAsia="Times New Roman"/>
          <w:i/>
          <w:lang w:val="fr-BE" w:eastAsia="nl-NL"/>
        </w:rPr>
        <w:t xml:space="preserve"> 2 </w:t>
      </w:r>
      <w:r w:rsidRPr="00C57832">
        <w:rPr>
          <w:rFonts w:eastAsia="Times New Roman"/>
          <w:i/>
          <w:lang w:val="fr-BE" w:eastAsia="nl-NL"/>
        </w:rPr>
        <w:t>doivent être refusés</w:t>
      </w:r>
      <w:r w:rsidR="00384F3A" w:rsidRPr="00C57832">
        <w:rPr>
          <w:rFonts w:eastAsia="Times New Roman"/>
          <w:i/>
          <w:lang w:val="fr-BE" w:eastAsia="nl-NL"/>
        </w:rPr>
        <w:t>.</w:t>
      </w:r>
    </w:p>
    <w:p w14:paraId="2F7C5887" w14:textId="77777777" w:rsidR="00384F3A" w:rsidRPr="00C57832" w:rsidRDefault="00384F3A" w:rsidP="00E3126B">
      <w:pPr>
        <w:spacing w:after="0"/>
        <w:ind w:left="1416"/>
        <w:rPr>
          <w:rFonts w:eastAsia="Times New Roman"/>
          <w:i/>
          <w:lang w:val="fr-BE" w:eastAsia="nl-NL"/>
        </w:rPr>
      </w:pPr>
    </w:p>
    <w:p w14:paraId="2AC1B4D0" w14:textId="2A67A432" w:rsidR="00F85F8D" w:rsidRPr="004737F6" w:rsidRDefault="00F85F8D" w:rsidP="00E3126B">
      <w:pPr>
        <w:pStyle w:val="Paragraphedeliste"/>
        <w:numPr>
          <w:ilvl w:val="0"/>
          <w:numId w:val="7"/>
        </w:numPr>
        <w:spacing w:after="0"/>
        <w:ind w:left="2911"/>
        <w:rPr>
          <w:i/>
          <w:lang w:val="fr-BE"/>
        </w:rPr>
      </w:pPr>
      <w:r w:rsidRPr="004737F6">
        <w:rPr>
          <w:i/>
          <w:lang w:val="fr-BE"/>
        </w:rPr>
        <w:t>Catégorie 1 : Le sac contient maximum 2 petites fautes/erreurs qui n’entravent pas le processus de tri ;</w:t>
      </w:r>
      <w:r w:rsidRPr="004737F6">
        <w:rPr>
          <w:i/>
          <w:szCs w:val="18"/>
          <w:lang w:val="fr-BE"/>
        </w:rPr>
        <w:t xml:space="preserve"> </w:t>
      </w:r>
      <w:r w:rsidR="00387B0E" w:rsidRPr="004737F6">
        <w:rPr>
          <w:i/>
          <w:szCs w:val="18"/>
          <w:lang w:val="fr-BE"/>
        </w:rPr>
        <w:t>si l’on constate plus de 2 fautes/erreurs de ce genre, le sac se retrouve en catégorie 2</w:t>
      </w:r>
    </w:p>
    <w:p w14:paraId="64425492" w14:textId="77777777" w:rsidR="00F85F8D" w:rsidRPr="004737F6" w:rsidRDefault="00F85F8D" w:rsidP="00E3126B">
      <w:pPr>
        <w:pStyle w:val="Paragraphedeliste"/>
        <w:numPr>
          <w:ilvl w:val="0"/>
          <w:numId w:val="7"/>
        </w:numPr>
        <w:spacing w:after="0"/>
        <w:ind w:left="2911"/>
        <w:rPr>
          <w:i/>
          <w:lang w:val="fr-BE"/>
        </w:rPr>
      </w:pPr>
      <w:r w:rsidRPr="004737F6">
        <w:rPr>
          <w:i/>
          <w:lang w:val="fr-BE"/>
        </w:rPr>
        <w:t>Catégorie 2 : Le sac contient une ou plusieurs fautes/erreurs graves qui peuvent être dangereuse pour les trieurs ou gêner le processus de tri</w:t>
      </w:r>
    </w:p>
    <w:p w14:paraId="225C2CAB" w14:textId="77777777" w:rsidR="00F85F8D" w:rsidRPr="004737F6" w:rsidRDefault="00F85F8D" w:rsidP="00E3126B">
      <w:pPr>
        <w:ind w:left="1416"/>
        <w:rPr>
          <w:i/>
          <w:lang w:val="fr-BE"/>
        </w:rPr>
      </w:pPr>
    </w:p>
    <w:p w14:paraId="13B83DEA" w14:textId="77777777" w:rsidR="00F85F8D" w:rsidRPr="00C57832" w:rsidRDefault="00F85F8D" w:rsidP="00E3126B">
      <w:pPr>
        <w:ind w:left="1416"/>
        <w:rPr>
          <w:i/>
          <w:lang w:val="fr-BE"/>
        </w:rPr>
      </w:pPr>
      <w:r w:rsidRPr="00C57832">
        <w:rPr>
          <w:i/>
          <w:lang w:val="fr-BE"/>
        </w:rPr>
        <w:t xml:space="preserve">Un sac comprenant un ou deux éléments non conformes de la liste ci-dessous peut être placé dans la </w:t>
      </w:r>
      <w:r w:rsidRPr="00C57832">
        <w:rPr>
          <w:i/>
          <w:u w:val="single"/>
          <w:lang w:val="fr-BE"/>
        </w:rPr>
        <w:t>catégorie 1</w:t>
      </w:r>
      <w:r w:rsidRPr="00C57832">
        <w:rPr>
          <w:i/>
          <w:lang w:val="fr-BE"/>
        </w:rPr>
        <w:t xml:space="preserve"> : </w:t>
      </w:r>
    </w:p>
    <w:p w14:paraId="1E2BF13B" w14:textId="77777777" w:rsidR="00F85F8D" w:rsidRPr="004737F6" w:rsidRDefault="00F85F8D" w:rsidP="00E3126B">
      <w:pPr>
        <w:pStyle w:val="Paragraphedeliste"/>
        <w:numPr>
          <w:ilvl w:val="0"/>
          <w:numId w:val="26"/>
        </w:numPr>
        <w:ind w:left="2136"/>
        <w:rPr>
          <w:i/>
          <w:lang w:val="fr-BE"/>
        </w:rPr>
      </w:pPr>
      <w:r w:rsidRPr="004737F6">
        <w:rPr>
          <w:i/>
          <w:lang w:val="fr-BE"/>
        </w:rPr>
        <w:t>Petit Papier-carton (moins d’une feuille A4)</w:t>
      </w:r>
    </w:p>
    <w:p w14:paraId="16D23941" w14:textId="73F94758" w:rsidR="00F85F8D" w:rsidRPr="004737F6" w:rsidRDefault="00F85F8D" w:rsidP="00E3126B">
      <w:pPr>
        <w:pStyle w:val="Paragraphedeliste"/>
        <w:numPr>
          <w:ilvl w:val="0"/>
          <w:numId w:val="26"/>
        </w:numPr>
        <w:ind w:left="2136"/>
        <w:rPr>
          <w:i/>
          <w:lang w:val="fr-BE"/>
        </w:rPr>
      </w:pPr>
      <w:r w:rsidRPr="004737F6">
        <w:rPr>
          <w:i/>
          <w:lang w:val="fr-BE"/>
        </w:rPr>
        <w:t>PSE (non alimentaire), plus petit que la taille d’un poing</w:t>
      </w:r>
    </w:p>
    <w:p w14:paraId="19EB3DC5" w14:textId="77777777" w:rsidR="00F85F8D" w:rsidRPr="004737F6" w:rsidRDefault="00F85F8D" w:rsidP="00E3126B">
      <w:pPr>
        <w:pStyle w:val="Paragraphedeliste"/>
        <w:numPr>
          <w:ilvl w:val="0"/>
          <w:numId w:val="26"/>
        </w:numPr>
        <w:ind w:left="2136"/>
        <w:rPr>
          <w:i/>
          <w:lang w:val="fr-BE"/>
        </w:rPr>
      </w:pPr>
      <w:r w:rsidRPr="004737F6">
        <w:rPr>
          <w:i/>
          <w:lang w:val="fr-BE"/>
        </w:rPr>
        <w:t>Gobelet en carton (McDonald’s, Quick, …)</w:t>
      </w:r>
    </w:p>
    <w:p w14:paraId="70AD6928" w14:textId="77777777" w:rsidR="00F85F8D" w:rsidRPr="004737F6" w:rsidRDefault="00F85F8D" w:rsidP="00E3126B">
      <w:pPr>
        <w:pStyle w:val="Paragraphedeliste"/>
        <w:numPr>
          <w:ilvl w:val="0"/>
          <w:numId w:val="26"/>
        </w:numPr>
        <w:ind w:left="2136"/>
        <w:rPr>
          <w:i/>
          <w:lang w:val="fr-BE"/>
        </w:rPr>
      </w:pPr>
      <w:r w:rsidRPr="004737F6">
        <w:rPr>
          <w:i/>
          <w:lang w:val="fr-BE"/>
        </w:rPr>
        <w:t>Déchets organique (une peau de banane par ex)</w:t>
      </w:r>
    </w:p>
    <w:p w14:paraId="47A82562" w14:textId="77777777" w:rsidR="00F85F8D" w:rsidRPr="004737F6" w:rsidRDefault="00F85F8D" w:rsidP="00E3126B">
      <w:pPr>
        <w:pStyle w:val="Paragraphedeliste"/>
        <w:numPr>
          <w:ilvl w:val="0"/>
          <w:numId w:val="26"/>
        </w:numPr>
        <w:ind w:left="2136"/>
        <w:rPr>
          <w:i/>
          <w:lang w:val="fr-BE"/>
        </w:rPr>
      </w:pPr>
      <w:r w:rsidRPr="004737F6">
        <w:rPr>
          <w:i/>
          <w:lang w:val="fr-BE"/>
        </w:rPr>
        <w:t>Les imbriqués</w:t>
      </w:r>
    </w:p>
    <w:p w14:paraId="18AEF234" w14:textId="35BBFC93" w:rsidR="00F85F8D" w:rsidRPr="004737F6" w:rsidRDefault="00F85F8D" w:rsidP="00E3126B">
      <w:pPr>
        <w:pStyle w:val="Paragraphedeliste"/>
        <w:numPr>
          <w:ilvl w:val="0"/>
          <w:numId w:val="26"/>
        </w:numPr>
        <w:ind w:left="2136"/>
        <w:rPr>
          <w:i/>
          <w:lang w:val="fr-BE"/>
        </w:rPr>
      </w:pPr>
      <w:r w:rsidRPr="004737F6">
        <w:rPr>
          <w:i/>
          <w:lang w:val="fr-BE"/>
        </w:rPr>
        <w:t xml:space="preserve">Plastiques durs (non-emballages) non-assimilables (petit </w:t>
      </w:r>
      <w:r w:rsidR="00546783" w:rsidRPr="004737F6">
        <w:rPr>
          <w:i/>
          <w:lang w:val="fr-BE"/>
        </w:rPr>
        <w:t>jouet, …</w:t>
      </w:r>
      <w:r w:rsidRPr="004737F6">
        <w:rPr>
          <w:i/>
          <w:lang w:val="fr-BE"/>
        </w:rPr>
        <w:t> ; plus petit que la taille d’un poing)</w:t>
      </w:r>
    </w:p>
    <w:p w14:paraId="0A8E60F4" w14:textId="77777777" w:rsidR="00F85F8D" w:rsidRPr="004737F6" w:rsidRDefault="00F85F8D" w:rsidP="00E3126B">
      <w:pPr>
        <w:ind w:left="1416"/>
        <w:rPr>
          <w:i/>
          <w:lang w:val="fr-BE"/>
        </w:rPr>
      </w:pPr>
      <w:r w:rsidRPr="004737F6">
        <w:rPr>
          <w:i/>
          <w:lang w:val="fr-BE"/>
        </w:rPr>
        <w:t xml:space="preserve">Un sac comprenant même un seul élément de la liste suivante doit être placé dans la </w:t>
      </w:r>
      <w:r w:rsidRPr="004737F6">
        <w:rPr>
          <w:i/>
          <w:u w:val="single"/>
          <w:lang w:val="fr-BE"/>
        </w:rPr>
        <w:t>catégorie 2</w:t>
      </w:r>
      <w:r w:rsidRPr="004737F6">
        <w:rPr>
          <w:i/>
          <w:lang w:val="fr-BE"/>
        </w:rPr>
        <w:t xml:space="preserve"> car aurait dû être refusé à la collecte :</w:t>
      </w:r>
    </w:p>
    <w:p w14:paraId="132A1CA0" w14:textId="77777777" w:rsidR="00F85F8D" w:rsidRPr="004737F6" w:rsidRDefault="00F85F8D" w:rsidP="00E3126B">
      <w:pPr>
        <w:pStyle w:val="Paragraphedeliste"/>
        <w:numPr>
          <w:ilvl w:val="0"/>
          <w:numId w:val="26"/>
        </w:numPr>
        <w:ind w:left="2136"/>
        <w:rPr>
          <w:i/>
          <w:lang w:val="fr-BE"/>
        </w:rPr>
      </w:pPr>
      <w:r w:rsidRPr="004737F6">
        <w:rPr>
          <w:i/>
          <w:lang w:val="fr-BE"/>
        </w:rPr>
        <w:t xml:space="preserve">Verre </w:t>
      </w:r>
    </w:p>
    <w:p w14:paraId="5198F181" w14:textId="77777777" w:rsidR="00F85F8D" w:rsidRPr="004737F6" w:rsidRDefault="00F85F8D" w:rsidP="00E3126B">
      <w:pPr>
        <w:pStyle w:val="Paragraphedeliste"/>
        <w:numPr>
          <w:ilvl w:val="0"/>
          <w:numId w:val="26"/>
        </w:numPr>
        <w:ind w:left="2136"/>
        <w:rPr>
          <w:i/>
          <w:lang w:val="fr-BE"/>
        </w:rPr>
      </w:pPr>
      <w:r w:rsidRPr="004737F6">
        <w:rPr>
          <w:i/>
          <w:lang w:val="fr-BE"/>
        </w:rPr>
        <w:t>Textile &amp; chaussures</w:t>
      </w:r>
    </w:p>
    <w:p w14:paraId="7375B15C" w14:textId="51E0CA74" w:rsidR="00F85F8D" w:rsidRPr="004737F6" w:rsidRDefault="00F85F8D" w:rsidP="00E3126B">
      <w:pPr>
        <w:pStyle w:val="Paragraphedeliste"/>
        <w:numPr>
          <w:ilvl w:val="0"/>
          <w:numId w:val="26"/>
        </w:numPr>
        <w:ind w:left="2136"/>
        <w:rPr>
          <w:i/>
          <w:lang w:val="fr-BE"/>
        </w:rPr>
      </w:pPr>
      <w:r w:rsidRPr="004737F6">
        <w:rPr>
          <w:i/>
          <w:lang w:val="fr-BE"/>
        </w:rPr>
        <w:t>PSE (non alimentaire), plus grand que la taille d’un poing</w:t>
      </w:r>
    </w:p>
    <w:p w14:paraId="05220BEA" w14:textId="77777777" w:rsidR="00F85F8D" w:rsidRPr="004737F6" w:rsidRDefault="00F85F8D" w:rsidP="00E3126B">
      <w:pPr>
        <w:pStyle w:val="Paragraphedeliste"/>
        <w:numPr>
          <w:ilvl w:val="0"/>
          <w:numId w:val="26"/>
        </w:numPr>
        <w:ind w:left="2136"/>
        <w:rPr>
          <w:i/>
          <w:lang w:val="fr-BE"/>
        </w:rPr>
      </w:pPr>
      <w:r w:rsidRPr="004737F6">
        <w:rPr>
          <w:i/>
          <w:lang w:val="fr-BE"/>
        </w:rPr>
        <w:t>Papier-carton (plus grand qu’une feuille A4)</w:t>
      </w:r>
    </w:p>
    <w:p w14:paraId="062FBC4B" w14:textId="77777777" w:rsidR="00F85F8D" w:rsidRPr="004737F6" w:rsidRDefault="00F85F8D" w:rsidP="00E3126B">
      <w:pPr>
        <w:pStyle w:val="Paragraphedeliste"/>
        <w:numPr>
          <w:ilvl w:val="0"/>
          <w:numId w:val="26"/>
        </w:numPr>
        <w:ind w:left="2136"/>
        <w:rPr>
          <w:i/>
          <w:lang w:val="fr-BE"/>
        </w:rPr>
      </w:pPr>
      <w:r w:rsidRPr="004737F6">
        <w:rPr>
          <w:i/>
          <w:lang w:val="fr-BE"/>
        </w:rPr>
        <w:t>Plastiques durs (non-emballages) non-assimilables (grands jouets, tuyau en plastique, … ;), plus grand que la taille d’un poing</w:t>
      </w:r>
    </w:p>
    <w:p w14:paraId="70574A22" w14:textId="77777777" w:rsidR="00F85F8D" w:rsidRPr="004737F6" w:rsidRDefault="00F85F8D" w:rsidP="00E3126B">
      <w:pPr>
        <w:pStyle w:val="Paragraphedeliste"/>
        <w:numPr>
          <w:ilvl w:val="0"/>
          <w:numId w:val="26"/>
        </w:numPr>
        <w:ind w:left="2136"/>
        <w:rPr>
          <w:i/>
          <w:lang w:val="fr-BE"/>
        </w:rPr>
      </w:pPr>
      <w:r w:rsidRPr="004737F6">
        <w:rPr>
          <w:i/>
          <w:lang w:val="fr-BE"/>
        </w:rPr>
        <w:t>Appareil électro</w:t>
      </w:r>
    </w:p>
    <w:p w14:paraId="5FC3DFBA" w14:textId="73CABF9F" w:rsidR="00F85F8D" w:rsidRPr="004737F6" w:rsidRDefault="00F85F8D" w:rsidP="00E3126B">
      <w:pPr>
        <w:pStyle w:val="Paragraphedeliste"/>
        <w:numPr>
          <w:ilvl w:val="0"/>
          <w:numId w:val="26"/>
        </w:numPr>
        <w:ind w:left="2136"/>
        <w:rPr>
          <w:i/>
          <w:lang w:val="fr-BE"/>
        </w:rPr>
      </w:pPr>
      <w:r w:rsidRPr="004737F6">
        <w:rPr>
          <w:i/>
          <w:lang w:val="fr-BE"/>
        </w:rPr>
        <w:t xml:space="preserve">Sac rempli à l’intérieur </w:t>
      </w:r>
      <w:r w:rsidR="00E3126B" w:rsidRPr="004737F6">
        <w:rPr>
          <w:i/>
          <w:lang w:val="fr-BE"/>
        </w:rPr>
        <w:t>du</w:t>
      </w:r>
      <w:r w:rsidRPr="004737F6">
        <w:rPr>
          <w:i/>
          <w:lang w:val="fr-BE"/>
        </w:rPr>
        <w:t xml:space="preserve"> sac PMC</w:t>
      </w:r>
    </w:p>
    <w:p w14:paraId="786AD9A1" w14:textId="5FA14F9D" w:rsidR="00F85F8D" w:rsidRPr="004737F6" w:rsidRDefault="00F85F8D" w:rsidP="00E3126B">
      <w:pPr>
        <w:pStyle w:val="Paragraphedeliste"/>
        <w:numPr>
          <w:ilvl w:val="0"/>
          <w:numId w:val="26"/>
        </w:numPr>
        <w:ind w:left="2136"/>
        <w:rPr>
          <w:i/>
          <w:lang w:val="fr-BE"/>
        </w:rPr>
      </w:pPr>
      <w:r w:rsidRPr="004737F6">
        <w:rPr>
          <w:i/>
          <w:lang w:val="fr-BE"/>
        </w:rPr>
        <w:t>Bidon attaché au sac PMC</w:t>
      </w:r>
    </w:p>
    <w:p w14:paraId="1150B0F5" w14:textId="74984BC2" w:rsidR="000E1B09" w:rsidRPr="004737F6" w:rsidRDefault="000E1B09" w:rsidP="000E1B09">
      <w:pPr>
        <w:pStyle w:val="Paragraphedeliste"/>
        <w:numPr>
          <w:ilvl w:val="0"/>
          <w:numId w:val="26"/>
        </w:numPr>
        <w:ind w:left="2136"/>
        <w:rPr>
          <w:i/>
          <w:lang w:val="fr-BE"/>
        </w:rPr>
      </w:pPr>
      <w:r w:rsidRPr="004737F6">
        <w:rPr>
          <w:i/>
          <w:lang w:val="fr-BE"/>
        </w:rPr>
        <w:t>Bouteille avec sécurité enfant (bouchon à pousser et tourner</w:t>
      </w:r>
      <w:r w:rsidRPr="004737F6">
        <w:rPr>
          <w:rFonts w:cs="Verdana"/>
          <w:i/>
          <w:szCs w:val="18"/>
          <w:lang w:val="fr-BE"/>
        </w:rPr>
        <w:t>)</w:t>
      </w:r>
    </w:p>
    <w:p w14:paraId="362BE761" w14:textId="45380626" w:rsidR="00F85F8D" w:rsidRPr="00C57832" w:rsidRDefault="00F85F8D" w:rsidP="000E1B09">
      <w:pPr>
        <w:pStyle w:val="Paragraphedeliste"/>
        <w:ind w:left="2136"/>
        <w:rPr>
          <w:i/>
          <w:color w:val="FF0000"/>
          <w:lang w:val="fr-BE"/>
        </w:rPr>
      </w:pPr>
    </w:p>
    <w:p w14:paraId="594413CA" w14:textId="291EAAB9" w:rsidR="004E40A9" w:rsidRPr="00C57832" w:rsidRDefault="004E40A9" w:rsidP="00E00E32">
      <w:pPr>
        <w:pStyle w:val="Listenumros"/>
        <w:rPr>
          <w:lang w:val="fr-BE"/>
        </w:rPr>
      </w:pPr>
      <w:r w:rsidRPr="00C57832">
        <w:rPr>
          <w:lang w:val="fr-BE"/>
        </w:rPr>
        <w:t>Les instructions de refus dans le cadre du PMC élargi font partie d’un trajet d’apprentissage, celles</w:t>
      </w:r>
      <w:r w:rsidR="000C5031" w:rsidRPr="00C57832">
        <w:rPr>
          <w:lang w:val="fr-BE"/>
        </w:rPr>
        <w:t>-</w:t>
      </w:r>
      <w:r w:rsidRPr="00C57832">
        <w:rPr>
          <w:lang w:val="fr-BE"/>
        </w:rPr>
        <w:t>ci pourront être adaptées en concertation avec les parties prenantes.</w:t>
      </w:r>
    </w:p>
    <w:p w14:paraId="6A66489D" w14:textId="77777777" w:rsidR="00F17E08" w:rsidRPr="00C57832" w:rsidRDefault="00F17E08" w:rsidP="00F17E08">
      <w:pPr>
        <w:rPr>
          <w:lang w:val="fr-BE"/>
        </w:rPr>
      </w:pPr>
    </w:p>
    <w:p w14:paraId="397C8031" w14:textId="77777777" w:rsidR="00681B3E" w:rsidRPr="00C57832" w:rsidRDefault="006B4934" w:rsidP="00451860">
      <w:pPr>
        <w:pStyle w:val="Listenumros"/>
        <w:numPr>
          <w:ilvl w:val="0"/>
          <w:numId w:val="6"/>
        </w:numPr>
        <w:rPr>
          <w:rFonts w:eastAsia="Times New Roman"/>
          <w:u w:val="single"/>
          <w:lang w:val="fr-BE" w:eastAsia="nl-NL"/>
        </w:rPr>
      </w:pPr>
      <w:r w:rsidRPr="00C57832">
        <w:rPr>
          <w:rFonts w:eastAsia="Times New Roman"/>
          <w:u w:val="single"/>
          <w:lang w:val="fr-BE" w:eastAsia="nl-NL"/>
        </w:rPr>
        <w:t>Procédure pour la mise à disposition et les contrôles de qualité des matériaux</w:t>
      </w:r>
    </w:p>
    <w:p w14:paraId="397C8032" w14:textId="77777777" w:rsidR="006B4934" w:rsidRPr="00C57832" w:rsidRDefault="006B4934">
      <w:pPr>
        <w:pStyle w:val="Listenumros"/>
        <w:rPr>
          <w:rFonts w:eastAsia="Times New Roman"/>
          <w:b/>
          <w:u w:val="single"/>
          <w:lang w:val="fr-BE" w:eastAsia="nl-NL"/>
        </w:rPr>
      </w:pPr>
    </w:p>
    <w:p w14:paraId="397C8033" w14:textId="77777777" w:rsidR="006B4934" w:rsidRPr="00C57832" w:rsidRDefault="006B4934">
      <w:pPr>
        <w:rPr>
          <w:lang w:val="fr-BE"/>
        </w:rPr>
      </w:pPr>
      <w:r w:rsidRPr="00C57832">
        <w:rPr>
          <w:lang w:val="fr-BE"/>
        </w:rPr>
        <w:t xml:space="preserve">Les chargements peuvent en principe être livrés tous les jours </w:t>
      </w:r>
      <w:r w:rsidR="006669F3" w:rsidRPr="00C57832">
        <w:rPr>
          <w:lang w:val="fr-BE"/>
        </w:rPr>
        <w:t>à l’exception des weekends et jours fériés légaux belges</w:t>
      </w:r>
      <w:r w:rsidRPr="00C57832">
        <w:rPr>
          <w:lang w:val="fr-BE"/>
        </w:rPr>
        <w:t>.</w:t>
      </w:r>
    </w:p>
    <w:p w14:paraId="397C8034" w14:textId="77777777" w:rsidR="006B4934" w:rsidRPr="00C57832" w:rsidRDefault="006B4934">
      <w:pPr>
        <w:rPr>
          <w:lang w:val="fr-BE"/>
        </w:rPr>
      </w:pPr>
      <w:r w:rsidRPr="00C57832">
        <w:rPr>
          <w:lang w:val="fr-BE"/>
        </w:rPr>
        <w:lastRenderedPageBreak/>
        <w:t xml:space="preserve">Si un </w:t>
      </w:r>
      <w:r w:rsidR="00B37885" w:rsidRPr="00C57832">
        <w:rPr>
          <w:lang w:val="fr-BE"/>
        </w:rPr>
        <w:t xml:space="preserve">collecteur </w:t>
      </w:r>
      <w:r w:rsidRPr="00C57832">
        <w:rPr>
          <w:lang w:val="fr-BE"/>
        </w:rPr>
        <w:t>apporte du PMC d'origine ménagère au centre de tri (ou à la station de transfert proposée par ce</w:t>
      </w:r>
      <w:r w:rsidR="006F32FF" w:rsidRPr="00C57832">
        <w:rPr>
          <w:lang w:val="fr-BE"/>
        </w:rPr>
        <w:t>lui-ci</w:t>
      </w:r>
      <w:r w:rsidRPr="00C57832">
        <w:rPr>
          <w:lang w:val="fr-BE"/>
        </w:rPr>
        <w:t>), ce dernier doit contrôler la quantité de PMC. Ce contrôle quantitatif est effectué à l'aide du pont de pesée étalonné et cette pesée sert de valeur de référence unique pour la facturation.</w:t>
      </w:r>
    </w:p>
    <w:p w14:paraId="397C8035" w14:textId="658EB840" w:rsidR="006B4934" w:rsidRPr="00C57832" w:rsidRDefault="006B4934">
      <w:pPr>
        <w:rPr>
          <w:lang w:val="fr-BE"/>
        </w:rPr>
      </w:pPr>
      <w:r w:rsidRPr="00C57832">
        <w:rPr>
          <w:lang w:val="fr-BE"/>
        </w:rPr>
        <w:t xml:space="preserve">Le centre de tri (ou la station de transfert proposée par ce dernier) peut, lors d'une trop grande présence de produits étrangers dans les produits livrés, refuser un chargement (par </w:t>
      </w:r>
      <w:r w:rsidR="00822BAD" w:rsidRPr="00C57832">
        <w:rPr>
          <w:lang w:val="fr-BE"/>
        </w:rPr>
        <w:t>exemple :</w:t>
      </w:r>
      <w:r w:rsidRPr="00C57832">
        <w:rPr>
          <w:lang w:val="fr-BE"/>
        </w:rPr>
        <w:t xml:space="preserve"> sacs d'ordures ménagères, sacs PMC avec une contamination </w:t>
      </w:r>
      <w:r w:rsidR="00822BAD" w:rsidRPr="00C57832">
        <w:rPr>
          <w:lang w:val="fr-BE"/>
        </w:rPr>
        <w:t>excessive...</w:t>
      </w:r>
      <w:r w:rsidRPr="00C57832">
        <w:rPr>
          <w:lang w:val="fr-BE"/>
        </w:rPr>
        <w:t xml:space="preserve">) conformément à la procédure prévue à l’article 23 du présent cahier des charges. </w:t>
      </w:r>
    </w:p>
    <w:p w14:paraId="397C8036" w14:textId="77777777" w:rsidR="00681B3E" w:rsidRPr="00C57832" w:rsidRDefault="006B4934" w:rsidP="00451860">
      <w:pPr>
        <w:pStyle w:val="Listenumros"/>
        <w:numPr>
          <w:ilvl w:val="0"/>
          <w:numId w:val="6"/>
        </w:numPr>
        <w:rPr>
          <w:rFonts w:eastAsia="Times New Roman"/>
          <w:u w:val="single"/>
          <w:lang w:val="fr-BE" w:eastAsia="nl-NL"/>
        </w:rPr>
      </w:pPr>
      <w:r w:rsidRPr="00C57832">
        <w:rPr>
          <w:rFonts w:eastAsia="Times New Roman"/>
          <w:u w:val="single"/>
          <w:lang w:val="fr-BE" w:eastAsia="nl-NL"/>
        </w:rPr>
        <w:t>Conditions générales</w:t>
      </w:r>
    </w:p>
    <w:p w14:paraId="397C8037" w14:textId="77777777" w:rsidR="006B4934" w:rsidRPr="00C57832" w:rsidRDefault="006B4934">
      <w:pPr>
        <w:rPr>
          <w:lang w:val="fr-BE"/>
        </w:rPr>
      </w:pPr>
    </w:p>
    <w:p w14:paraId="397C8038" w14:textId="7C367299" w:rsidR="00AA1596" w:rsidRPr="00C57832" w:rsidRDefault="00AA1596">
      <w:pPr>
        <w:rPr>
          <w:lang w:val="fr-BE"/>
        </w:rPr>
        <w:sectPr w:rsidR="00AA1596" w:rsidRPr="00C57832">
          <w:pgSz w:w="11906" w:h="16838" w:code="9"/>
          <w:pgMar w:top="1418" w:right="1418" w:bottom="1418" w:left="1418" w:header="709" w:footer="709" w:gutter="0"/>
          <w:cols w:space="708"/>
          <w:docGrid w:linePitch="360"/>
        </w:sectPr>
      </w:pPr>
      <w:r w:rsidRPr="00C57832">
        <w:rPr>
          <w:lang w:val="fr-BE"/>
        </w:rPr>
        <w:t>Ces spécifications peuvent être modifiées</w:t>
      </w:r>
      <w:r w:rsidR="0043211A" w:rsidRPr="00C57832">
        <w:rPr>
          <w:lang w:val="fr-BE"/>
        </w:rPr>
        <w:t xml:space="preserve"> en cours de </w:t>
      </w:r>
      <w:r w:rsidR="005E5746" w:rsidRPr="00C57832">
        <w:rPr>
          <w:lang w:val="fr-BE"/>
        </w:rPr>
        <w:t>Marché</w:t>
      </w:r>
      <w:r w:rsidR="002F463A" w:rsidRPr="00C57832">
        <w:rPr>
          <w:lang w:val="fr-BE"/>
        </w:rPr>
        <w:t>,</w:t>
      </w:r>
      <w:r w:rsidRPr="00C57832">
        <w:rPr>
          <w:lang w:val="fr-BE"/>
        </w:rPr>
        <w:t xml:space="preserve"> après accord de</w:t>
      </w:r>
      <w:r w:rsidR="006F32FF" w:rsidRPr="00C57832">
        <w:rPr>
          <w:lang w:val="fr-BE"/>
        </w:rPr>
        <w:t>s parties concernées</w:t>
      </w:r>
      <w:r w:rsidR="002F463A" w:rsidRPr="00C57832">
        <w:rPr>
          <w:lang w:val="fr-BE"/>
        </w:rPr>
        <w:t>,</w:t>
      </w:r>
      <w:r w:rsidRPr="00C57832">
        <w:rPr>
          <w:lang w:val="fr-BE"/>
        </w:rPr>
        <w:t xml:space="preserve"> </w:t>
      </w:r>
      <w:r w:rsidR="006B4934" w:rsidRPr="00C57832">
        <w:rPr>
          <w:lang w:val="fr-BE"/>
        </w:rPr>
        <w:t xml:space="preserve">en fonction de l'évolution des conditions techniques ou de l’expérience </w:t>
      </w:r>
      <w:r w:rsidR="0043211A" w:rsidRPr="00C57832">
        <w:rPr>
          <w:lang w:val="fr-BE"/>
        </w:rPr>
        <w:t>acquise</w:t>
      </w:r>
      <w:r w:rsidR="006B4934" w:rsidRPr="00C57832">
        <w:rPr>
          <w:lang w:val="fr-BE"/>
        </w:rPr>
        <w:t xml:space="preserve">. </w:t>
      </w:r>
      <w:r w:rsidR="006669F3" w:rsidRPr="00C57832">
        <w:rPr>
          <w:lang w:val="fr-BE"/>
        </w:rPr>
        <w:t>En cas de changement éventuel de</w:t>
      </w:r>
      <w:r w:rsidR="00393880" w:rsidRPr="00C57832">
        <w:rPr>
          <w:lang w:val="fr-BE"/>
        </w:rPr>
        <w:t xml:space="preserve"> ces </w:t>
      </w:r>
      <w:r w:rsidR="006669F3" w:rsidRPr="00C57832">
        <w:rPr>
          <w:lang w:val="fr-BE"/>
        </w:rPr>
        <w:t xml:space="preserve">spécifications, le pouvoir adjudicateur </w:t>
      </w:r>
      <w:r w:rsidR="00393880" w:rsidRPr="00C57832">
        <w:rPr>
          <w:lang w:val="fr-BE"/>
        </w:rPr>
        <w:t xml:space="preserve">en informe trois mois à l’avance le prestataire de services. </w:t>
      </w:r>
    </w:p>
    <w:p w14:paraId="397C8039" w14:textId="77777777" w:rsidR="005E1675" w:rsidRPr="00C57832" w:rsidRDefault="005E1675" w:rsidP="00FF67A6">
      <w:pPr>
        <w:pStyle w:val="Titre2"/>
        <w:rPr>
          <w:lang w:val="fr-BE"/>
        </w:rPr>
      </w:pPr>
      <w:bookmarkStart w:id="212" w:name="_Toc188956606"/>
      <w:bookmarkStart w:id="213" w:name="_Toc188957950"/>
      <w:bookmarkStart w:id="214" w:name="_Toc200978239"/>
      <w:bookmarkStart w:id="215" w:name="_Toc201739304"/>
      <w:bookmarkStart w:id="216" w:name="_Toc513197787"/>
      <w:bookmarkStart w:id="217" w:name="_Toc200945542"/>
      <w:bookmarkStart w:id="218" w:name="_Toc201025173"/>
      <w:bookmarkStart w:id="219" w:name="_Toc201587480"/>
      <w:r w:rsidRPr="00C57832">
        <w:rPr>
          <w:lang w:val="fr-BE"/>
        </w:rPr>
        <w:lastRenderedPageBreak/>
        <w:t>Annexe E : Procédure pour l’application des amendes et procédure de constatation des défauts d’exécution</w:t>
      </w:r>
      <w:bookmarkEnd w:id="212"/>
      <w:bookmarkEnd w:id="213"/>
      <w:bookmarkEnd w:id="214"/>
      <w:bookmarkEnd w:id="215"/>
      <w:bookmarkEnd w:id="216"/>
    </w:p>
    <w:p w14:paraId="397C803A" w14:textId="77777777" w:rsidR="005E1675" w:rsidRPr="00C57832" w:rsidRDefault="005E1675" w:rsidP="005E1675">
      <w:pPr>
        <w:rPr>
          <w:b/>
          <w:lang w:val="fr-BE"/>
        </w:rPr>
      </w:pPr>
    </w:p>
    <w:p w14:paraId="7A770437" w14:textId="77777777" w:rsidR="0039626C" w:rsidRPr="00C57832" w:rsidRDefault="0039626C" w:rsidP="0039626C">
      <w:pPr>
        <w:rPr>
          <w:lang w:val="fr-BE"/>
        </w:rPr>
      </w:pPr>
      <w:r w:rsidRPr="00C57832">
        <w:rPr>
          <w:lang w:val="fr-BE"/>
        </w:rPr>
        <w:t xml:space="preserve">La procédure décrite ci-dessous en matière d’application des amendes s’applique aux infractions au présent cahier des charges. Les constatations de défauts d’exécution peuvent être effectuées par le pouvoir adjudicateur, </w:t>
      </w:r>
      <w:proofErr w:type="spellStart"/>
      <w:r w:rsidRPr="00C57832">
        <w:rPr>
          <w:lang w:val="fr-BE"/>
        </w:rPr>
        <w:t>Fost</w:t>
      </w:r>
      <w:proofErr w:type="spellEnd"/>
      <w:r w:rsidRPr="00C57832">
        <w:rPr>
          <w:lang w:val="fr-BE"/>
        </w:rPr>
        <w:t xml:space="preserve"> Plus et les surveillants désignés par le pouvoir adjudicateur ou </w:t>
      </w:r>
      <w:proofErr w:type="spellStart"/>
      <w:r w:rsidRPr="00C57832">
        <w:rPr>
          <w:lang w:val="fr-BE"/>
        </w:rPr>
        <w:t>Fost</w:t>
      </w:r>
      <w:proofErr w:type="spellEnd"/>
      <w:r w:rsidRPr="00C57832">
        <w:rPr>
          <w:lang w:val="fr-BE"/>
        </w:rPr>
        <w:t xml:space="preserve"> Plus. Il s’agit, à cet égard, de l’ensemble des infractions qui découlent d’une exécution tardive ou incorrecte des services conformément à l’article 18.</w:t>
      </w:r>
    </w:p>
    <w:p w14:paraId="15EF83E0" w14:textId="77777777" w:rsidR="00742A40" w:rsidRPr="00C57832" w:rsidRDefault="00742A40" w:rsidP="00742A40">
      <w:pPr>
        <w:rPr>
          <w:lang w:val="fr-BE"/>
        </w:rPr>
      </w:pPr>
      <w:r w:rsidRPr="00C57832">
        <w:rPr>
          <w:lang w:val="fr-BE"/>
        </w:rPr>
        <w:t xml:space="preserve">Tous les manquements aux clauses du Marché, y compris la non-observation des ordres du pouvoir adjudicateur ou </w:t>
      </w:r>
      <w:proofErr w:type="spellStart"/>
      <w:r w:rsidRPr="00C57832">
        <w:rPr>
          <w:lang w:val="fr-BE"/>
        </w:rPr>
        <w:t>Fost</w:t>
      </w:r>
      <w:proofErr w:type="spellEnd"/>
      <w:r w:rsidRPr="00C57832">
        <w:rPr>
          <w:lang w:val="fr-BE"/>
        </w:rPr>
        <w:t xml:space="preserve"> Plus, sont constatés par procès-verbal par le pouvoir adjudicateur ou </w:t>
      </w:r>
      <w:proofErr w:type="spellStart"/>
      <w:r w:rsidRPr="00C57832">
        <w:rPr>
          <w:lang w:val="fr-BE"/>
        </w:rPr>
        <w:t>Fost</w:t>
      </w:r>
      <w:proofErr w:type="spellEnd"/>
      <w:r w:rsidRPr="00C57832">
        <w:rPr>
          <w:lang w:val="fr-BE"/>
        </w:rPr>
        <w:t xml:space="preserve"> Plus qui sera immédiatement communiqué par fax ou par e-mail au prestataire de services. Le prestataire de services en confirme la réception, par fax ou par e-mail, dans les 24 heures. Ce délai de 24 heures est suspendu pendant les jours de non-travail. Il peut également faire valoir, dans ce délai, ses moyens de défense. Passé ce délai, son silence est considéré comme une reconnaissance des faits constatés. Le procès-verbal dénonçant les défauts d'exécution est immédiatement confirmé par lettre recommandée à la poste par la partie qui constate le manquement.</w:t>
      </w:r>
    </w:p>
    <w:p w14:paraId="397C803D" w14:textId="77777777" w:rsidR="005E1675" w:rsidRPr="00C57832" w:rsidRDefault="005E1675" w:rsidP="005E1675">
      <w:pPr>
        <w:rPr>
          <w:color w:val="000000"/>
          <w:lang w:val="fr-BE"/>
        </w:rPr>
      </w:pPr>
      <w:r w:rsidRPr="00C57832">
        <w:rPr>
          <w:color w:val="000000"/>
          <w:lang w:val="fr-BE"/>
        </w:rPr>
        <w:t>Ce procès-verbal mentionne :</w:t>
      </w:r>
    </w:p>
    <w:p w14:paraId="397C803E" w14:textId="77777777" w:rsidR="005E1675" w:rsidRPr="00C57832" w:rsidRDefault="005E1675" w:rsidP="00B56BDA">
      <w:pPr>
        <w:pStyle w:val="Listepuces"/>
        <w:tabs>
          <w:tab w:val="clear" w:pos="928"/>
          <w:tab w:val="num" w:pos="567"/>
        </w:tabs>
        <w:ind w:left="567" w:hanging="425"/>
        <w:rPr>
          <w:lang w:val="fr-BE"/>
        </w:rPr>
      </w:pPr>
      <w:proofErr w:type="gramStart"/>
      <w:r w:rsidRPr="00C57832">
        <w:rPr>
          <w:lang w:val="fr-BE"/>
        </w:rPr>
        <w:t>le</w:t>
      </w:r>
      <w:proofErr w:type="gramEnd"/>
      <w:r w:rsidRPr="00C57832">
        <w:rPr>
          <w:lang w:val="fr-BE"/>
        </w:rPr>
        <w:t xml:space="preserve"> défaut d’exécution concernant la prestation de services ;</w:t>
      </w:r>
    </w:p>
    <w:p w14:paraId="397C803F" w14:textId="77777777" w:rsidR="005E1675" w:rsidRPr="00C57832" w:rsidRDefault="005E1675" w:rsidP="00B56BDA">
      <w:pPr>
        <w:pStyle w:val="Listepuces"/>
        <w:tabs>
          <w:tab w:val="clear" w:pos="928"/>
          <w:tab w:val="num" w:pos="567"/>
        </w:tabs>
        <w:ind w:left="567" w:hanging="425"/>
        <w:rPr>
          <w:lang w:val="fr-BE"/>
        </w:rPr>
      </w:pPr>
      <w:proofErr w:type="gramStart"/>
      <w:r w:rsidRPr="00C57832">
        <w:rPr>
          <w:lang w:val="fr-BE"/>
        </w:rPr>
        <w:t>la</w:t>
      </w:r>
      <w:proofErr w:type="gramEnd"/>
      <w:r w:rsidRPr="00C57832">
        <w:rPr>
          <w:lang w:val="fr-BE"/>
        </w:rPr>
        <w:t xml:space="preserve"> date du (des) constat(s) ;</w:t>
      </w:r>
    </w:p>
    <w:p w14:paraId="397C8040" w14:textId="77777777" w:rsidR="005E1675" w:rsidRPr="00C57832" w:rsidRDefault="005E1675" w:rsidP="00B56BDA">
      <w:pPr>
        <w:pStyle w:val="Listepuces"/>
        <w:tabs>
          <w:tab w:val="clear" w:pos="928"/>
          <w:tab w:val="num" w:pos="567"/>
        </w:tabs>
        <w:ind w:left="567" w:hanging="425"/>
        <w:rPr>
          <w:lang w:val="fr-BE"/>
        </w:rPr>
      </w:pPr>
      <w:proofErr w:type="gramStart"/>
      <w:r w:rsidRPr="00C57832">
        <w:rPr>
          <w:lang w:val="fr-BE"/>
        </w:rPr>
        <w:t>la</w:t>
      </w:r>
      <w:proofErr w:type="gramEnd"/>
      <w:r w:rsidRPr="00C57832">
        <w:rPr>
          <w:lang w:val="fr-BE"/>
        </w:rPr>
        <w:t xml:space="preserve"> personne qui a effectué le (les) constat(s) ;</w:t>
      </w:r>
    </w:p>
    <w:p w14:paraId="397C8041" w14:textId="77777777" w:rsidR="005E1675" w:rsidRPr="00C57832" w:rsidRDefault="005E1675" w:rsidP="00B56BDA">
      <w:pPr>
        <w:pStyle w:val="Listepuces"/>
        <w:tabs>
          <w:tab w:val="clear" w:pos="928"/>
          <w:tab w:val="num" w:pos="567"/>
        </w:tabs>
        <w:ind w:left="567" w:hanging="425"/>
        <w:rPr>
          <w:lang w:val="fr-BE"/>
        </w:rPr>
      </w:pPr>
      <w:proofErr w:type="gramStart"/>
      <w:r w:rsidRPr="00C57832">
        <w:rPr>
          <w:lang w:val="fr-BE"/>
        </w:rPr>
        <w:t>la</w:t>
      </w:r>
      <w:proofErr w:type="gramEnd"/>
      <w:r w:rsidRPr="00C57832">
        <w:rPr>
          <w:lang w:val="fr-BE"/>
        </w:rPr>
        <w:t xml:space="preserve"> clause relative à l’amende qui s’applique. </w:t>
      </w:r>
    </w:p>
    <w:p w14:paraId="397C8042" w14:textId="77777777" w:rsidR="005E1675" w:rsidRPr="00C57832" w:rsidRDefault="005E1675" w:rsidP="005E1675">
      <w:pPr>
        <w:rPr>
          <w:lang w:val="fr-BE"/>
        </w:rPr>
      </w:pPr>
    </w:p>
    <w:p w14:paraId="397C8043" w14:textId="77777777" w:rsidR="00153B65" w:rsidRPr="00C57832" w:rsidRDefault="00153B65" w:rsidP="00153B65">
      <w:pPr>
        <w:rPr>
          <w:lang w:val="fr-BE"/>
        </w:rPr>
      </w:pPr>
      <w:r w:rsidRPr="00C57832">
        <w:rPr>
          <w:lang w:val="fr-BE"/>
        </w:rPr>
        <w:t xml:space="preserve">Les éventuelles amendes feront l’objet d’une facturation séparée par le pouvoir adjudicateur ou </w:t>
      </w:r>
      <w:proofErr w:type="spellStart"/>
      <w:r w:rsidRPr="00C57832">
        <w:rPr>
          <w:lang w:val="fr-BE"/>
        </w:rPr>
        <w:t>Fost</w:t>
      </w:r>
      <w:proofErr w:type="spellEnd"/>
      <w:r w:rsidRPr="00C57832">
        <w:rPr>
          <w:lang w:val="fr-BE"/>
        </w:rPr>
        <w:t xml:space="preserve"> Plus, en fonction de la partie qui constate le manquement d’une disposition du présent cahier des charges. Chaque infraction ne peut faire l’objet que d’une seule amende. </w:t>
      </w:r>
    </w:p>
    <w:p w14:paraId="397C8044" w14:textId="77777777" w:rsidR="005E1675" w:rsidRPr="00C57832" w:rsidRDefault="005E1675">
      <w:pPr>
        <w:spacing w:after="0" w:line="240" w:lineRule="auto"/>
        <w:rPr>
          <w:rFonts w:eastAsia="Times New Roman" w:cs="Arial"/>
          <w:bCs/>
          <w:iCs/>
          <w:sz w:val="24"/>
          <w:szCs w:val="28"/>
          <w:lang w:val="fr-BE" w:eastAsia="nl-NL"/>
        </w:rPr>
      </w:pPr>
      <w:r w:rsidRPr="00C57832">
        <w:rPr>
          <w:rFonts w:eastAsia="Times New Roman"/>
          <w:lang w:val="fr-BE" w:eastAsia="nl-NL"/>
        </w:rPr>
        <w:br w:type="page"/>
      </w:r>
    </w:p>
    <w:bookmarkEnd w:id="217"/>
    <w:bookmarkEnd w:id="218"/>
    <w:bookmarkEnd w:id="219"/>
    <w:p w14:paraId="397C8045" w14:textId="77777777" w:rsidR="006B4934" w:rsidRPr="00C57832" w:rsidRDefault="006B4934">
      <w:pPr>
        <w:rPr>
          <w:lang w:val="fr-BE"/>
        </w:rPr>
        <w:sectPr w:rsidR="006B4934" w:rsidRPr="00C57832">
          <w:pgSz w:w="11906" w:h="16838" w:code="9"/>
          <w:pgMar w:top="1418" w:right="1418" w:bottom="1418" w:left="1418" w:header="709" w:footer="709" w:gutter="0"/>
          <w:cols w:space="708"/>
          <w:docGrid w:linePitch="360"/>
        </w:sectPr>
      </w:pPr>
    </w:p>
    <w:p w14:paraId="397C8046" w14:textId="6B5D82C7" w:rsidR="006B4934" w:rsidRPr="00C57832" w:rsidRDefault="006B4934" w:rsidP="00FC3AE6">
      <w:pPr>
        <w:pStyle w:val="Titre2"/>
        <w:rPr>
          <w:lang w:val="fr-BE"/>
        </w:rPr>
      </w:pPr>
      <w:bookmarkStart w:id="220" w:name="_Toc200945543"/>
      <w:bookmarkStart w:id="221" w:name="_Toc201025174"/>
      <w:bookmarkStart w:id="222" w:name="_Toc201587481"/>
      <w:bookmarkStart w:id="223" w:name="_Toc513197788"/>
      <w:r w:rsidRPr="00C57832">
        <w:rPr>
          <w:lang w:val="fr-BE"/>
        </w:rPr>
        <w:lastRenderedPageBreak/>
        <w:t xml:space="preserve">Annexe </w:t>
      </w:r>
      <w:r w:rsidR="003D3A46" w:rsidRPr="00C57832">
        <w:rPr>
          <w:lang w:val="fr-BE"/>
        </w:rPr>
        <w:t>F</w:t>
      </w:r>
      <w:r w:rsidRPr="00C57832">
        <w:rPr>
          <w:lang w:val="fr-BE"/>
        </w:rPr>
        <w:t xml:space="preserve"> : </w:t>
      </w:r>
      <w:bookmarkEnd w:id="220"/>
      <w:bookmarkEnd w:id="221"/>
      <w:bookmarkEnd w:id="222"/>
      <w:r w:rsidR="009C5DD5" w:rsidRPr="00C57832">
        <w:rPr>
          <w:lang w:val="fr-BE"/>
        </w:rPr>
        <w:t>Description des conteneurs qui sont la propriété du pouvoir adjudicateur/communes, y compris une liste des adresses de ces endroits</w:t>
      </w:r>
      <w:bookmarkEnd w:id="223"/>
    </w:p>
    <w:p w14:paraId="0A6DBD18" w14:textId="650BA297" w:rsidR="00FF67A6" w:rsidRPr="00C57832" w:rsidRDefault="00FF67A6" w:rsidP="00FF67A6">
      <w:pPr>
        <w:rPr>
          <w:lang w:val="fr-BE" w:eastAsia="nl-NL"/>
        </w:rPr>
      </w:pPr>
    </w:p>
    <w:p w14:paraId="636D5DFC" w14:textId="3E02721E" w:rsidR="009C5DD5" w:rsidRPr="00C57832" w:rsidRDefault="009C5DD5" w:rsidP="00FF67A6">
      <w:pPr>
        <w:rPr>
          <w:rFonts w:eastAsia="Times New Roman"/>
          <w:lang w:val="fr-BE" w:eastAsia="nl-NL"/>
        </w:rPr>
      </w:pPr>
      <w:r w:rsidRPr="00C57832">
        <w:rPr>
          <w:rFonts w:eastAsia="Times New Roman"/>
          <w:lang w:val="fr-BE" w:eastAsia="nl-NL"/>
        </w:rPr>
        <w:t xml:space="preserve">Toutes les données et quantités reprises dans cette annexe concernent la situation actuelle au </w:t>
      </w:r>
      <w:r w:rsidRPr="00C57832">
        <w:rPr>
          <w:szCs w:val="18"/>
          <w:lang w:val="fr-BE"/>
        </w:rPr>
        <w:fldChar w:fldCharType="begin">
          <w:ffData>
            <w:name w:val=""/>
            <w:enabled/>
            <w:calcOnExit w:val="0"/>
            <w:textInput>
              <w:default w:val="&lt;indiquer la date considérée&gt;"/>
            </w:textInput>
          </w:ffData>
        </w:fldChar>
      </w:r>
      <w:r w:rsidRPr="00C57832">
        <w:rPr>
          <w:szCs w:val="18"/>
          <w:lang w:val="fr-BE"/>
        </w:rPr>
        <w:instrText xml:space="preserve"> FORMTEXT </w:instrText>
      </w:r>
      <w:r w:rsidRPr="00C57832">
        <w:rPr>
          <w:szCs w:val="18"/>
          <w:lang w:val="fr-BE"/>
        </w:rPr>
      </w:r>
      <w:r w:rsidRPr="00C57832">
        <w:rPr>
          <w:szCs w:val="18"/>
          <w:lang w:val="fr-BE"/>
        </w:rPr>
        <w:fldChar w:fldCharType="separate"/>
      </w:r>
      <w:r w:rsidRPr="00C57832">
        <w:rPr>
          <w:szCs w:val="18"/>
          <w:lang w:val="fr-BE"/>
        </w:rPr>
        <w:t>&lt;indiquer la date considérée&gt;</w:t>
      </w:r>
      <w:r w:rsidRPr="00C57832">
        <w:rPr>
          <w:szCs w:val="18"/>
          <w:lang w:val="fr-BE"/>
        </w:rPr>
        <w:fldChar w:fldCharType="end"/>
      </w:r>
      <w:r w:rsidRPr="00C57832">
        <w:rPr>
          <w:rFonts w:eastAsia="Times New Roman"/>
          <w:lang w:val="fr-BE" w:eastAsia="nl-NL"/>
        </w:rPr>
        <w:t xml:space="preserve">. Ces quantités et ces données sont données à titre indicatif et </w:t>
      </w:r>
      <w:r w:rsidR="00BA1BA0" w:rsidRPr="00C57832">
        <w:rPr>
          <w:rFonts w:eastAsia="Times New Roman"/>
          <w:lang w:val="fr-BE" w:eastAsia="nl-NL"/>
        </w:rPr>
        <w:t>peuvent changer en cours de marché</w:t>
      </w:r>
      <w:r w:rsidRPr="00C57832">
        <w:rPr>
          <w:rFonts w:eastAsia="Times New Roman"/>
          <w:lang w:val="fr-BE" w:eastAsia="nl-NL"/>
        </w:rPr>
        <w:t>.</w:t>
      </w:r>
    </w:p>
    <w:p w14:paraId="71CE6860" w14:textId="77777777" w:rsidR="009C5DD5" w:rsidRPr="00C57832" w:rsidRDefault="009C5DD5" w:rsidP="00FF67A6">
      <w:pPr>
        <w:rPr>
          <w:lang w:val="fr-BE" w:eastAsia="nl-NL"/>
        </w:rPr>
      </w:pPr>
    </w:p>
    <w:p w14:paraId="568AFC86" w14:textId="152FBFC7" w:rsidR="00505404" w:rsidRPr="00C57832" w:rsidRDefault="00505404" w:rsidP="00BB166A">
      <w:pPr>
        <w:pStyle w:val="Listepuces"/>
        <w:numPr>
          <w:ilvl w:val="0"/>
          <w:numId w:val="10"/>
        </w:numPr>
        <w:rPr>
          <w:lang w:val="fr-BE"/>
        </w:rPr>
      </w:pPr>
      <w:r w:rsidRPr="00C57832">
        <w:rPr>
          <w:lang w:val="fr-BE"/>
        </w:rPr>
        <w:t xml:space="preserve">Conteneurs 1100 litres utilisés par les écoles ou d’autres points de collecte </w:t>
      </w:r>
      <w:proofErr w:type="gramStart"/>
      <w:r w:rsidRPr="00C57832">
        <w:rPr>
          <w:lang w:val="fr-BE"/>
        </w:rPr>
        <w:t>groupés:</w:t>
      </w:r>
      <w:proofErr w:type="gramEnd"/>
    </w:p>
    <w:p w14:paraId="2D068130" w14:textId="77777777" w:rsidR="00505404" w:rsidRPr="00C57832" w:rsidRDefault="00505404" w:rsidP="00505404">
      <w:pPr>
        <w:pStyle w:val="Listepuces"/>
        <w:numPr>
          <w:ilvl w:val="0"/>
          <w:numId w:val="0"/>
        </w:numPr>
        <w:ind w:left="199"/>
        <w:rPr>
          <w:lang w:val="fr-BE"/>
        </w:rPr>
      </w:pPr>
    </w:p>
    <w:p w14:paraId="6D96E67A" w14:textId="5F97A37B" w:rsidR="00505404" w:rsidRPr="00C57832" w:rsidRDefault="00505404" w:rsidP="00505404">
      <w:pPr>
        <w:pStyle w:val="Listepuces"/>
        <w:numPr>
          <w:ilvl w:val="0"/>
          <w:numId w:val="0"/>
        </w:numPr>
        <w:ind w:left="360" w:hanging="360"/>
        <w:rPr>
          <w:u w:val="single"/>
          <w:lang w:val="fr-BE"/>
        </w:rPr>
      </w:pPr>
      <w:r w:rsidRPr="00C57832">
        <w:rPr>
          <w:u w:val="single"/>
          <w:lang w:val="fr-BE"/>
        </w:rPr>
        <w:t>Description (dimensions, matériel, spécifications techniques, …</w:t>
      </w:r>
      <w:proofErr w:type="gramStart"/>
      <w:r w:rsidRPr="00C57832">
        <w:rPr>
          <w:u w:val="single"/>
          <w:lang w:val="fr-BE"/>
        </w:rPr>
        <w:t>):</w:t>
      </w:r>
      <w:proofErr w:type="gramEnd"/>
      <w:r w:rsidRPr="00C57832">
        <w:rPr>
          <w:u w:val="single"/>
          <w:lang w:val="fr-BE"/>
        </w:rPr>
        <w:t xml:space="preserve"> </w:t>
      </w:r>
    </w:p>
    <w:p w14:paraId="5114C091" w14:textId="77777777" w:rsidR="00505404" w:rsidRPr="00C57832" w:rsidRDefault="00505404" w:rsidP="00505404">
      <w:pPr>
        <w:pStyle w:val="Listepuces"/>
        <w:numPr>
          <w:ilvl w:val="0"/>
          <w:numId w:val="0"/>
        </w:numPr>
        <w:rPr>
          <w:lang w:val="fr-BE"/>
        </w:rPr>
      </w:pPr>
      <w:r w:rsidRPr="00C57832">
        <w:rPr>
          <w:lang w:val="fr-BE"/>
        </w:rPr>
        <w:t>……………………………………………………………………………………………………………………………………………………………………………………………………………………………………………………………………………………………………………………………………………………………………………………………………………………………………………………………………………………………………………………………………………………………………………………………………………………………………………………</w:t>
      </w:r>
    </w:p>
    <w:p w14:paraId="56F4B81F" w14:textId="647EE73E" w:rsidR="00505404" w:rsidRPr="00C57832" w:rsidRDefault="00505404" w:rsidP="00505404">
      <w:pPr>
        <w:pStyle w:val="Listepuces"/>
        <w:numPr>
          <w:ilvl w:val="0"/>
          <w:numId w:val="0"/>
        </w:numPr>
        <w:ind w:left="360" w:hanging="360"/>
        <w:rPr>
          <w:lang w:val="fr-BE"/>
        </w:rPr>
      </w:pPr>
      <w:r w:rsidRPr="00C57832">
        <w:rPr>
          <w:lang w:val="fr-BE"/>
        </w:rPr>
        <w:t xml:space="preserve"> </w:t>
      </w:r>
    </w:p>
    <w:p w14:paraId="0015B17F" w14:textId="77777777" w:rsidR="00505404" w:rsidRPr="00C57832" w:rsidRDefault="00505404" w:rsidP="00505404">
      <w:pPr>
        <w:pStyle w:val="Listepuces"/>
        <w:numPr>
          <w:ilvl w:val="0"/>
          <w:numId w:val="0"/>
        </w:numPr>
        <w:ind w:left="360" w:hanging="360"/>
        <w:rPr>
          <w:lang w:val="fr-BE"/>
        </w:rPr>
      </w:pPr>
    </w:p>
    <w:tbl>
      <w:tblPr>
        <w:tblStyle w:val="Grilledutableau"/>
        <w:tblW w:w="0" w:type="auto"/>
        <w:tblInd w:w="360" w:type="dxa"/>
        <w:tblLook w:val="04A0" w:firstRow="1" w:lastRow="0" w:firstColumn="1" w:lastColumn="0" w:noHBand="0" w:noVBand="1"/>
      </w:tblPr>
      <w:tblGrid>
        <w:gridCol w:w="5908"/>
        <w:gridCol w:w="1394"/>
        <w:gridCol w:w="1398"/>
      </w:tblGrid>
      <w:tr w:rsidR="009D453B" w:rsidRPr="00C57832" w14:paraId="367734AB" w14:textId="77777777" w:rsidTr="009D5CAA">
        <w:tc>
          <w:tcPr>
            <w:tcW w:w="6116" w:type="dxa"/>
          </w:tcPr>
          <w:p w14:paraId="32E7CC5C" w14:textId="77777777" w:rsidR="009D453B" w:rsidRPr="00C57832" w:rsidRDefault="009D453B" w:rsidP="00505404">
            <w:pPr>
              <w:pStyle w:val="Listepuces"/>
              <w:numPr>
                <w:ilvl w:val="0"/>
                <w:numId w:val="0"/>
              </w:numPr>
              <w:rPr>
                <w:lang w:val="fr-BE"/>
              </w:rPr>
            </w:pPr>
            <w:r w:rsidRPr="00C57832">
              <w:rPr>
                <w:lang w:val="fr-BE"/>
              </w:rPr>
              <w:t>Adresse</w:t>
            </w:r>
          </w:p>
        </w:tc>
        <w:tc>
          <w:tcPr>
            <w:tcW w:w="1405" w:type="dxa"/>
          </w:tcPr>
          <w:p w14:paraId="67BDBE7B" w14:textId="3E240095" w:rsidR="009D453B" w:rsidRPr="00C57832" w:rsidRDefault="009D453B" w:rsidP="00505404">
            <w:pPr>
              <w:pStyle w:val="Listepuces"/>
              <w:numPr>
                <w:ilvl w:val="0"/>
                <w:numId w:val="0"/>
              </w:numPr>
              <w:rPr>
                <w:lang w:val="fr-BE"/>
              </w:rPr>
            </w:pPr>
            <w:r w:rsidRPr="00C57832">
              <w:rPr>
                <w:lang w:val="fr-BE"/>
              </w:rPr>
              <w:t xml:space="preserve">Nombre (non </w:t>
            </w:r>
            <w:r w:rsidR="009C5DD5" w:rsidRPr="00C57832">
              <w:rPr>
                <w:lang w:val="fr-BE"/>
              </w:rPr>
              <w:t>verrouillé</w:t>
            </w:r>
            <w:r w:rsidRPr="00C57832">
              <w:rPr>
                <w:lang w:val="fr-BE"/>
              </w:rPr>
              <w:t>)</w:t>
            </w:r>
          </w:p>
        </w:tc>
        <w:tc>
          <w:tcPr>
            <w:tcW w:w="1405" w:type="dxa"/>
          </w:tcPr>
          <w:p w14:paraId="0197C542" w14:textId="3A095C12" w:rsidR="009D453B" w:rsidRPr="00C57832" w:rsidRDefault="009D453B" w:rsidP="009C5DD5">
            <w:pPr>
              <w:pStyle w:val="Listepuces"/>
              <w:numPr>
                <w:ilvl w:val="0"/>
                <w:numId w:val="0"/>
              </w:numPr>
              <w:rPr>
                <w:lang w:val="fr-BE"/>
              </w:rPr>
            </w:pPr>
            <w:r w:rsidRPr="00C57832">
              <w:rPr>
                <w:lang w:val="fr-BE"/>
              </w:rPr>
              <w:t>Nombre (verrouillés</w:t>
            </w:r>
          </w:p>
        </w:tc>
      </w:tr>
      <w:tr w:rsidR="009D453B" w:rsidRPr="00C57832" w14:paraId="61068321" w14:textId="77777777" w:rsidTr="009D5CAA">
        <w:tc>
          <w:tcPr>
            <w:tcW w:w="6116" w:type="dxa"/>
          </w:tcPr>
          <w:p w14:paraId="162C46BD" w14:textId="77777777" w:rsidR="009D453B" w:rsidRPr="00C57832" w:rsidRDefault="009D453B" w:rsidP="00505404">
            <w:pPr>
              <w:pStyle w:val="Listepuces"/>
              <w:numPr>
                <w:ilvl w:val="0"/>
                <w:numId w:val="0"/>
              </w:numPr>
              <w:rPr>
                <w:lang w:val="fr-BE"/>
              </w:rPr>
            </w:pPr>
          </w:p>
        </w:tc>
        <w:tc>
          <w:tcPr>
            <w:tcW w:w="1405" w:type="dxa"/>
          </w:tcPr>
          <w:p w14:paraId="6B05BBF2" w14:textId="77777777" w:rsidR="009D453B" w:rsidRPr="00C57832" w:rsidRDefault="009D453B" w:rsidP="00505404">
            <w:pPr>
              <w:pStyle w:val="Listepuces"/>
              <w:numPr>
                <w:ilvl w:val="0"/>
                <w:numId w:val="0"/>
              </w:numPr>
              <w:rPr>
                <w:lang w:val="fr-BE"/>
              </w:rPr>
            </w:pPr>
          </w:p>
        </w:tc>
        <w:tc>
          <w:tcPr>
            <w:tcW w:w="1405" w:type="dxa"/>
          </w:tcPr>
          <w:p w14:paraId="3BA26B98" w14:textId="754173D5" w:rsidR="009D453B" w:rsidRPr="00C57832" w:rsidRDefault="009D453B" w:rsidP="00505404">
            <w:pPr>
              <w:pStyle w:val="Listepuces"/>
              <w:numPr>
                <w:ilvl w:val="0"/>
                <w:numId w:val="0"/>
              </w:numPr>
              <w:rPr>
                <w:lang w:val="fr-BE"/>
              </w:rPr>
            </w:pPr>
          </w:p>
        </w:tc>
      </w:tr>
      <w:tr w:rsidR="009D453B" w:rsidRPr="00C57832" w14:paraId="16EF4C36" w14:textId="77777777" w:rsidTr="009D5CAA">
        <w:tc>
          <w:tcPr>
            <w:tcW w:w="6116" w:type="dxa"/>
          </w:tcPr>
          <w:p w14:paraId="51E16BD1" w14:textId="77777777" w:rsidR="009D453B" w:rsidRPr="00C57832" w:rsidRDefault="009D453B" w:rsidP="00505404">
            <w:pPr>
              <w:pStyle w:val="Listepuces"/>
              <w:numPr>
                <w:ilvl w:val="0"/>
                <w:numId w:val="0"/>
              </w:numPr>
              <w:rPr>
                <w:lang w:val="fr-BE"/>
              </w:rPr>
            </w:pPr>
          </w:p>
        </w:tc>
        <w:tc>
          <w:tcPr>
            <w:tcW w:w="1405" w:type="dxa"/>
          </w:tcPr>
          <w:p w14:paraId="10B27946" w14:textId="77777777" w:rsidR="009D453B" w:rsidRPr="00C57832" w:rsidRDefault="009D453B" w:rsidP="00505404">
            <w:pPr>
              <w:pStyle w:val="Listepuces"/>
              <w:numPr>
                <w:ilvl w:val="0"/>
                <w:numId w:val="0"/>
              </w:numPr>
              <w:rPr>
                <w:lang w:val="fr-BE"/>
              </w:rPr>
            </w:pPr>
          </w:p>
        </w:tc>
        <w:tc>
          <w:tcPr>
            <w:tcW w:w="1405" w:type="dxa"/>
          </w:tcPr>
          <w:p w14:paraId="4FF2212B" w14:textId="56081FA2" w:rsidR="009D453B" w:rsidRPr="00C57832" w:rsidRDefault="009D453B" w:rsidP="00505404">
            <w:pPr>
              <w:pStyle w:val="Listepuces"/>
              <w:numPr>
                <w:ilvl w:val="0"/>
                <w:numId w:val="0"/>
              </w:numPr>
              <w:rPr>
                <w:lang w:val="fr-BE"/>
              </w:rPr>
            </w:pPr>
          </w:p>
        </w:tc>
      </w:tr>
      <w:tr w:rsidR="009D453B" w:rsidRPr="00C57832" w14:paraId="1F9F801F" w14:textId="77777777" w:rsidTr="009D5CAA">
        <w:tc>
          <w:tcPr>
            <w:tcW w:w="6116" w:type="dxa"/>
          </w:tcPr>
          <w:p w14:paraId="754B6212" w14:textId="77777777" w:rsidR="009D453B" w:rsidRPr="00C57832" w:rsidRDefault="009D453B" w:rsidP="00505404">
            <w:pPr>
              <w:pStyle w:val="Listepuces"/>
              <w:numPr>
                <w:ilvl w:val="0"/>
                <w:numId w:val="0"/>
              </w:numPr>
              <w:rPr>
                <w:lang w:val="fr-BE"/>
              </w:rPr>
            </w:pPr>
          </w:p>
        </w:tc>
        <w:tc>
          <w:tcPr>
            <w:tcW w:w="1405" w:type="dxa"/>
          </w:tcPr>
          <w:p w14:paraId="0AC4A05C" w14:textId="77777777" w:rsidR="009D453B" w:rsidRPr="00C57832" w:rsidRDefault="009D453B" w:rsidP="00505404">
            <w:pPr>
              <w:pStyle w:val="Listepuces"/>
              <w:numPr>
                <w:ilvl w:val="0"/>
                <w:numId w:val="0"/>
              </w:numPr>
              <w:rPr>
                <w:lang w:val="fr-BE"/>
              </w:rPr>
            </w:pPr>
          </w:p>
        </w:tc>
        <w:tc>
          <w:tcPr>
            <w:tcW w:w="1405" w:type="dxa"/>
          </w:tcPr>
          <w:p w14:paraId="67FE3E0E" w14:textId="29E329BA" w:rsidR="009D453B" w:rsidRPr="00C57832" w:rsidRDefault="009D453B" w:rsidP="00505404">
            <w:pPr>
              <w:pStyle w:val="Listepuces"/>
              <w:numPr>
                <w:ilvl w:val="0"/>
                <w:numId w:val="0"/>
              </w:numPr>
              <w:rPr>
                <w:lang w:val="fr-BE"/>
              </w:rPr>
            </w:pPr>
          </w:p>
        </w:tc>
      </w:tr>
      <w:tr w:rsidR="009D453B" w:rsidRPr="00C57832" w14:paraId="0EB8D3B3" w14:textId="77777777" w:rsidTr="009D5CAA">
        <w:tc>
          <w:tcPr>
            <w:tcW w:w="6116" w:type="dxa"/>
          </w:tcPr>
          <w:p w14:paraId="4502E15B" w14:textId="77777777" w:rsidR="009D453B" w:rsidRPr="00C57832" w:rsidRDefault="009D453B" w:rsidP="00505404">
            <w:pPr>
              <w:pStyle w:val="Listepuces"/>
              <w:numPr>
                <w:ilvl w:val="0"/>
                <w:numId w:val="0"/>
              </w:numPr>
              <w:rPr>
                <w:lang w:val="fr-BE"/>
              </w:rPr>
            </w:pPr>
          </w:p>
        </w:tc>
        <w:tc>
          <w:tcPr>
            <w:tcW w:w="1405" w:type="dxa"/>
          </w:tcPr>
          <w:p w14:paraId="63A63378" w14:textId="77777777" w:rsidR="009D453B" w:rsidRPr="00C57832" w:rsidRDefault="009D453B" w:rsidP="00505404">
            <w:pPr>
              <w:pStyle w:val="Listepuces"/>
              <w:numPr>
                <w:ilvl w:val="0"/>
                <w:numId w:val="0"/>
              </w:numPr>
              <w:rPr>
                <w:lang w:val="fr-BE"/>
              </w:rPr>
            </w:pPr>
          </w:p>
        </w:tc>
        <w:tc>
          <w:tcPr>
            <w:tcW w:w="1405" w:type="dxa"/>
          </w:tcPr>
          <w:p w14:paraId="1A8C2D76" w14:textId="3448B074" w:rsidR="009D453B" w:rsidRPr="00C57832" w:rsidRDefault="009D453B" w:rsidP="00505404">
            <w:pPr>
              <w:pStyle w:val="Listepuces"/>
              <w:numPr>
                <w:ilvl w:val="0"/>
                <w:numId w:val="0"/>
              </w:numPr>
              <w:rPr>
                <w:lang w:val="fr-BE"/>
              </w:rPr>
            </w:pPr>
          </w:p>
        </w:tc>
      </w:tr>
    </w:tbl>
    <w:p w14:paraId="5B46FFEB" w14:textId="77777777" w:rsidR="00505404" w:rsidRPr="00C57832" w:rsidRDefault="00505404" w:rsidP="00505404">
      <w:pPr>
        <w:rPr>
          <w:lang w:val="fr-BE"/>
        </w:rPr>
      </w:pPr>
    </w:p>
    <w:p w14:paraId="4DD4CFB6" w14:textId="1E3E0D09" w:rsidR="00505404" w:rsidRPr="00C57832" w:rsidRDefault="00505404" w:rsidP="00BB166A">
      <w:pPr>
        <w:pStyle w:val="Listepuces"/>
        <w:numPr>
          <w:ilvl w:val="0"/>
          <w:numId w:val="10"/>
        </w:numPr>
        <w:rPr>
          <w:lang w:val="fr-BE"/>
        </w:rPr>
      </w:pPr>
      <w:r w:rsidRPr="00C57832">
        <w:rPr>
          <w:lang w:val="fr-BE"/>
        </w:rPr>
        <w:t xml:space="preserve">Conteneurs sur les </w:t>
      </w:r>
      <w:proofErr w:type="spellStart"/>
      <w:proofErr w:type="gramStart"/>
      <w:r w:rsidR="00872188" w:rsidRPr="00C57832">
        <w:rPr>
          <w:lang w:val="fr-BE"/>
        </w:rPr>
        <w:t>recyparcs</w:t>
      </w:r>
      <w:proofErr w:type="spellEnd"/>
      <w:r w:rsidRPr="00C57832">
        <w:rPr>
          <w:lang w:val="fr-BE"/>
        </w:rPr>
        <w:t>:</w:t>
      </w:r>
      <w:proofErr w:type="gramEnd"/>
    </w:p>
    <w:p w14:paraId="78314B76" w14:textId="77777777" w:rsidR="00505404" w:rsidRPr="00C57832" w:rsidRDefault="00505404" w:rsidP="00505404">
      <w:pPr>
        <w:pStyle w:val="Listepuces"/>
        <w:numPr>
          <w:ilvl w:val="0"/>
          <w:numId w:val="0"/>
        </w:numPr>
        <w:ind w:left="360" w:hanging="360"/>
        <w:rPr>
          <w:lang w:val="fr-BE"/>
        </w:rPr>
      </w:pPr>
    </w:p>
    <w:p w14:paraId="721087A9" w14:textId="0B973EA6" w:rsidR="00505404" w:rsidRPr="00C57832" w:rsidRDefault="00505404" w:rsidP="00505404">
      <w:pPr>
        <w:pStyle w:val="Listepuces"/>
        <w:numPr>
          <w:ilvl w:val="0"/>
          <w:numId w:val="0"/>
        </w:numPr>
        <w:ind w:left="360" w:hanging="360"/>
        <w:rPr>
          <w:u w:val="single"/>
          <w:lang w:val="fr-BE"/>
        </w:rPr>
      </w:pPr>
      <w:r w:rsidRPr="00C57832">
        <w:rPr>
          <w:u w:val="single"/>
          <w:lang w:val="fr-BE"/>
        </w:rPr>
        <w:t>Description (dimensions, matériel, spécifications techniques, …</w:t>
      </w:r>
      <w:proofErr w:type="gramStart"/>
      <w:r w:rsidRPr="00C57832">
        <w:rPr>
          <w:u w:val="single"/>
          <w:lang w:val="fr-BE"/>
        </w:rPr>
        <w:t>):</w:t>
      </w:r>
      <w:proofErr w:type="gramEnd"/>
      <w:r w:rsidRPr="00C57832">
        <w:rPr>
          <w:u w:val="single"/>
          <w:lang w:val="fr-BE"/>
        </w:rPr>
        <w:t xml:space="preserve"> </w:t>
      </w:r>
    </w:p>
    <w:p w14:paraId="3917332C" w14:textId="77777777" w:rsidR="00505404" w:rsidRPr="00C57832" w:rsidRDefault="00505404" w:rsidP="00505404">
      <w:pPr>
        <w:pStyle w:val="Listepuces"/>
        <w:numPr>
          <w:ilvl w:val="0"/>
          <w:numId w:val="0"/>
        </w:numPr>
        <w:rPr>
          <w:lang w:val="fr-BE"/>
        </w:rPr>
      </w:pPr>
      <w:r w:rsidRPr="00C57832">
        <w:rPr>
          <w:lang w:val="fr-BE"/>
        </w:rPr>
        <w:t>……………………………………………………………………………………………………………………………………………………………………………………………………………………………………………………………………………………………………………………………………………………………………………………………………………………………………………………………………………………………………………………………………………………………………………………………………………………………………………………</w:t>
      </w:r>
    </w:p>
    <w:p w14:paraId="4A12EE1C" w14:textId="77777777" w:rsidR="00505404" w:rsidRPr="00C57832" w:rsidRDefault="00505404" w:rsidP="00505404">
      <w:pPr>
        <w:pStyle w:val="Listepuces"/>
        <w:numPr>
          <w:ilvl w:val="0"/>
          <w:numId w:val="0"/>
        </w:numPr>
        <w:ind w:left="360" w:hanging="360"/>
        <w:rPr>
          <w:lang w:val="fr-BE"/>
        </w:rPr>
      </w:pPr>
    </w:p>
    <w:tbl>
      <w:tblPr>
        <w:tblStyle w:val="Grilledutableau"/>
        <w:tblW w:w="0" w:type="auto"/>
        <w:tblInd w:w="360" w:type="dxa"/>
        <w:tblLook w:val="04A0" w:firstRow="1" w:lastRow="0" w:firstColumn="1" w:lastColumn="0" w:noHBand="0" w:noVBand="1"/>
      </w:tblPr>
      <w:tblGrid>
        <w:gridCol w:w="6116"/>
        <w:gridCol w:w="1405"/>
      </w:tblGrid>
      <w:tr w:rsidR="00505404" w:rsidRPr="00C57832" w14:paraId="3D3922BA" w14:textId="77777777" w:rsidTr="00505404">
        <w:tc>
          <w:tcPr>
            <w:tcW w:w="6116" w:type="dxa"/>
          </w:tcPr>
          <w:p w14:paraId="53457AD1" w14:textId="73165C3F" w:rsidR="00505404" w:rsidRPr="00C57832" w:rsidRDefault="00505404" w:rsidP="00505404">
            <w:pPr>
              <w:pStyle w:val="Listepuces"/>
              <w:numPr>
                <w:ilvl w:val="0"/>
                <w:numId w:val="0"/>
              </w:numPr>
              <w:rPr>
                <w:lang w:val="fr-BE"/>
              </w:rPr>
            </w:pPr>
            <w:r w:rsidRPr="00C57832">
              <w:rPr>
                <w:lang w:val="fr-BE"/>
              </w:rPr>
              <w:t>Adresse</w:t>
            </w:r>
          </w:p>
        </w:tc>
        <w:tc>
          <w:tcPr>
            <w:tcW w:w="1405" w:type="dxa"/>
          </w:tcPr>
          <w:p w14:paraId="2B858B2E" w14:textId="0EF771A7" w:rsidR="00505404" w:rsidRPr="00C57832" w:rsidRDefault="00505404" w:rsidP="00505404">
            <w:pPr>
              <w:pStyle w:val="Listepuces"/>
              <w:numPr>
                <w:ilvl w:val="0"/>
                <w:numId w:val="0"/>
              </w:numPr>
              <w:rPr>
                <w:lang w:val="fr-BE"/>
              </w:rPr>
            </w:pPr>
            <w:r w:rsidRPr="00C57832">
              <w:rPr>
                <w:lang w:val="fr-BE"/>
              </w:rPr>
              <w:t xml:space="preserve">Nombre </w:t>
            </w:r>
          </w:p>
        </w:tc>
      </w:tr>
      <w:tr w:rsidR="00505404" w:rsidRPr="00C57832" w14:paraId="7AE06EC3" w14:textId="77777777" w:rsidTr="00505404">
        <w:tc>
          <w:tcPr>
            <w:tcW w:w="6116" w:type="dxa"/>
          </w:tcPr>
          <w:p w14:paraId="53F60A31" w14:textId="77777777" w:rsidR="00505404" w:rsidRPr="00C57832" w:rsidRDefault="00505404" w:rsidP="00505404">
            <w:pPr>
              <w:pStyle w:val="Listepuces"/>
              <w:numPr>
                <w:ilvl w:val="0"/>
                <w:numId w:val="0"/>
              </w:numPr>
              <w:rPr>
                <w:lang w:val="fr-BE"/>
              </w:rPr>
            </w:pPr>
          </w:p>
        </w:tc>
        <w:tc>
          <w:tcPr>
            <w:tcW w:w="1405" w:type="dxa"/>
          </w:tcPr>
          <w:p w14:paraId="20F1E4BA" w14:textId="77777777" w:rsidR="00505404" w:rsidRPr="00C57832" w:rsidRDefault="00505404" w:rsidP="00505404">
            <w:pPr>
              <w:pStyle w:val="Listepuces"/>
              <w:numPr>
                <w:ilvl w:val="0"/>
                <w:numId w:val="0"/>
              </w:numPr>
              <w:rPr>
                <w:lang w:val="fr-BE"/>
              </w:rPr>
            </w:pPr>
          </w:p>
        </w:tc>
      </w:tr>
      <w:tr w:rsidR="00505404" w:rsidRPr="00C57832" w14:paraId="5FABC397" w14:textId="77777777" w:rsidTr="00505404">
        <w:tc>
          <w:tcPr>
            <w:tcW w:w="6116" w:type="dxa"/>
          </w:tcPr>
          <w:p w14:paraId="0F061BB7" w14:textId="77777777" w:rsidR="00505404" w:rsidRPr="00C57832" w:rsidRDefault="00505404" w:rsidP="00505404">
            <w:pPr>
              <w:pStyle w:val="Listepuces"/>
              <w:numPr>
                <w:ilvl w:val="0"/>
                <w:numId w:val="0"/>
              </w:numPr>
              <w:rPr>
                <w:lang w:val="fr-BE"/>
              </w:rPr>
            </w:pPr>
          </w:p>
        </w:tc>
        <w:tc>
          <w:tcPr>
            <w:tcW w:w="1405" w:type="dxa"/>
          </w:tcPr>
          <w:p w14:paraId="7861EC1B" w14:textId="77777777" w:rsidR="00505404" w:rsidRPr="00C57832" w:rsidRDefault="00505404" w:rsidP="00505404">
            <w:pPr>
              <w:pStyle w:val="Listepuces"/>
              <w:numPr>
                <w:ilvl w:val="0"/>
                <w:numId w:val="0"/>
              </w:numPr>
              <w:rPr>
                <w:lang w:val="fr-BE"/>
              </w:rPr>
            </w:pPr>
          </w:p>
        </w:tc>
      </w:tr>
      <w:tr w:rsidR="00505404" w:rsidRPr="00C57832" w14:paraId="24ACFFB3" w14:textId="77777777" w:rsidTr="00505404">
        <w:tc>
          <w:tcPr>
            <w:tcW w:w="6116" w:type="dxa"/>
          </w:tcPr>
          <w:p w14:paraId="5B7B5464" w14:textId="77777777" w:rsidR="00505404" w:rsidRPr="00C57832" w:rsidRDefault="00505404" w:rsidP="00505404">
            <w:pPr>
              <w:pStyle w:val="Listepuces"/>
              <w:numPr>
                <w:ilvl w:val="0"/>
                <w:numId w:val="0"/>
              </w:numPr>
              <w:rPr>
                <w:lang w:val="fr-BE"/>
              </w:rPr>
            </w:pPr>
          </w:p>
        </w:tc>
        <w:tc>
          <w:tcPr>
            <w:tcW w:w="1405" w:type="dxa"/>
          </w:tcPr>
          <w:p w14:paraId="256166AF" w14:textId="77777777" w:rsidR="00505404" w:rsidRPr="00C57832" w:rsidRDefault="00505404" w:rsidP="00505404">
            <w:pPr>
              <w:pStyle w:val="Listepuces"/>
              <w:numPr>
                <w:ilvl w:val="0"/>
                <w:numId w:val="0"/>
              </w:numPr>
              <w:rPr>
                <w:lang w:val="fr-BE"/>
              </w:rPr>
            </w:pPr>
          </w:p>
        </w:tc>
      </w:tr>
      <w:tr w:rsidR="00505404" w:rsidRPr="00C57832" w14:paraId="05E2B76E" w14:textId="77777777" w:rsidTr="00505404">
        <w:tc>
          <w:tcPr>
            <w:tcW w:w="6116" w:type="dxa"/>
          </w:tcPr>
          <w:p w14:paraId="1BDA2B61" w14:textId="77777777" w:rsidR="00505404" w:rsidRPr="00C57832" w:rsidRDefault="00505404" w:rsidP="00505404">
            <w:pPr>
              <w:pStyle w:val="Listepuces"/>
              <w:numPr>
                <w:ilvl w:val="0"/>
                <w:numId w:val="0"/>
              </w:numPr>
              <w:rPr>
                <w:lang w:val="fr-BE"/>
              </w:rPr>
            </w:pPr>
          </w:p>
        </w:tc>
        <w:tc>
          <w:tcPr>
            <w:tcW w:w="1405" w:type="dxa"/>
          </w:tcPr>
          <w:p w14:paraId="1BBEE84E" w14:textId="77777777" w:rsidR="00505404" w:rsidRPr="00C57832" w:rsidRDefault="00505404" w:rsidP="00505404">
            <w:pPr>
              <w:pStyle w:val="Listepuces"/>
              <w:numPr>
                <w:ilvl w:val="0"/>
                <w:numId w:val="0"/>
              </w:numPr>
              <w:rPr>
                <w:lang w:val="fr-BE"/>
              </w:rPr>
            </w:pPr>
          </w:p>
        </w:tc>
      </w:tr>
    </w:tbl>
    <w:p w14:paraId="65A3A830" w14:textId="77777777" w:rsidR="00505404" w:rsidRPr="00C57832" w:rsidRDefault="00505404" w:rsidP="00505404">
      <w:pPr>
        <w:pStyle w:val="Listepuces"/>
        <w:numPr>
          <w:ilvl w:val="0"/>
          <w:numId w:val="0"/>
        </w:numPr>
        <w:ind w:left="360" w:hanging="360"/>
        <w:rPr>
          <w:lang w:val="fr-BE"/>
        </w:rPr>
      </w:pPr>
    </w:p>
    <w:p w14:paraId="5278203D" w14:textId="77777777" w:rsidR="00505404" w:rsidRPr="00C57832" w:rsidRDefault="00505404" w:rsidP="00505404">
      <w:pPr>
        <w:rPr>
          <w:lang w:val="fr-BE"/>
        </w:rPr>
      </w:pPr>
    </w:p>
    <w:p w14:paraId="6579A617" w14:textId="77777777" w:rsidR="00505404" w:rsidRPr="00C57832" w:rsidRDefault="00505404" w:rsidP="00505404">
      <w:pPr>
        <w:rPr>
          <w:lang w:val="fr-BE"/>
        </w:rPr>
      </w:pPr>
    </w:p>
    <w:p w14:paraId="397C8047" w14:textId="77777777" w:rsidR="0064271A" w:rsidRPr="00C57832" w:rsidRDefault="0064271A">
      <w:pPr>
        <w:spacing w:after="0" w:line="240" w:lineRule="auto"/>
        <w:rPr>
          <w:lang w:val="fr-BE"/>
        </w:rPr>
      </w:pPr>
      <w:r w:rsidRPr="00C57832">
        <w:rPr>
          <w:lang w:val="fr-BE"/>
        </w:rPr>
        <w:br w:type="page"/>
      </w:r>
    </w:p>
    <w:p w14:paraId="397C8048" w14:textId="747AEA60" w:rsidR="0064340B" w:rsidRPr="00C57832" w:rsidRDefault="00BD39E1" w:rsidP="00FF67A6">
      <w:pPr>
        <w:pStyle w:val="Titre2"/>
        <w:rPr>
          <w:lang w:val="fr-BE"/>
        </w:rPr>
      </w:pPr>
      <w:bookmarkStart w:id="224" w:name="_Toc513197789"/>
      <w:r w:rsidRPr="00C57832">
        <w:rPr>
          <w:lang w:val="fr-BE"/>
        </w:rPr>
        <w:lastRenderedPageBreak/>
        <w:t>Annexe</w:t>
      </w:r>
      <w:r w:rsidR="002972E8" w:rsidRPr="00C57832">
        <w:rPr>
          <w:lang w:val="fr-BE"/>
        </w:rPr>
        <w:t xml:space="preserve"> </w:t>
      </w:r>
      <w:r w:rsidR="003D3A46" w:rsidRPr="00C57832">
        <w:rPr>
          <w:lang w:val="fr-BE"/>
        </w:rPr>
        <w:t>G</w:t>
      </w:r>
      <w:r w:rsidR="002972E8" w:rsidRPr="00C57832">
        <w:rPr>
          <w:lang w:val="fr-BE"/>
        </w:rPr>
        <w:t xml:space="preserve"> : </w:t>
      </w:r>
      <w:r w:rsidR="00C27360" w:rsidRPr="00C57832">
        <w:rPr>
          <w:lang w:val="fr-BE"/>
        </w:rPr>
        <w:t xml:space="preserve">Checklist </w:t>
      </w:r>
      <w:r w:rsidR="00B63819" w:rsidRPr="00C57832">
        <w:rPr>
          <w:lang w:val="fr-BE"/>
        </w:rPr>
        <w:t>des informations et documents à ajouter à l’offre</w:t>
      </w:r>
      <w:r w:rsidR="002972E8" w:rsidRPr="00C57832">
        <w:rPr>
          <w:rStyle w:val="Appelnotedebasdep"/>
          <w:lang w:val="fr-BE"/>
        </w:rPr>
        <w:footnoteReference w:id="27"/>
      </w:r>
      <w:bookmarkEnd w:id="224"/>
    </w:p>
    <w:p w14:paraId="0568D041" w14:textId="1A483DF6" w:rsidR="00A2758F" w:rsidRPr="00C57832" w:rsidRDefault="00A2758F" w:rsidP="000C3E53">
      <w:pPr>
        <w:rPr>
          <w:lang w:val="fr-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26"/>
      </w:tblGrid>
      <w:tr w:rsidR="00A2758F" w:rsidRPr="00C57832" w14:paraId="45848BB1" w14:textId="77777777" w:rsidTr="002E3E38">
        <w:tc>
          <w:tcPr>
            <w:tcW w:w="7196" w:type="dxa"/>
          </w:tcPr>
          <w:p w14:paraId="2109F6FA" w14:textId="77777777" w:rsidR="00A2758F" w:rsidRPr="00C57832" w:rsidRDefault="00A2758F" w:rsidP="00C76C93">
            <w:pPr>
              <w:widowControl w:val="0"/>
              <w:spacing w:after="0" w:line="276" w:lineRule="auto"/>
              <w:jc w:val="center"/>
              <w:rPr>
                <w:rFonts w:eastAsia="Times New Roman"/>
                <w:b/>
                <w:szCs w:val="18"/>
                <w:lang w:val="fr-BE" w:eastAsia="nl-NL"/>
              </w:rPr>
            </w:pPr>
            <w:r w:rsidRPr="00C57832">
              <w:rPr>
                <w:rFonts w:eastAsia="Times New Roman"/>
                <w:b/>
                <w:szCs w:val="18"/>
                <w:lang w:val="fr-BE" w:eastAsia="nl-NL"/>
              </w:rPr>
              <w:t>Documents &amp; Information</w:t>
            </w:r>
          </w:p>
        </w:tc>
        <w:tc>
          <w:tcPr>
            <w:tcW w:w="2126" w:type="dxa"/>
          </w:tcPr>
          <w:p w14:paraId="1654927D" w14:textId="77777777" w:rsidR="00A2758F" w:rsidRPr="00C57832" w:rsidRDefault="00A2758F" w:rsidP="00C76C93">
            <w:pPr>
              <w:widowControl w:val="0"/>
              <w:spacing w:after="0" w:line="276" w:lineRule="auto"/>
              <w:jc w:val="center"/>
              <w:rPr>
                <w:rFonts w:eastAsia="Times New Roman"/>
                <w:b/>
                <w:szCs w:val="18"/>
                <w:lang w:val="fr-BE" w:eastAsia="nl-NL"/>
              </w:rPr>
            </w:pPr>
            <w:r w:rsidRPr="00C57832">
              <w:rPr>
                <w:rFonts w:eastAsia="Times New Roman"/>
                <w:b/>
                <w:szCs w:val="18"/>
                <w:lang w:val="fr-BE" w:eastAsia="nl-NL"/>
              </w:rPr>
              <w:t>Statut</w:t>
            </w:r>
          </w:p>
        </w:tc>
      </w:tr>
      <w:tr w:rsidR="00A2758F" w:rsidRPr="007174D8" w14:paraId="332092EE" w14:textId="77777777" w:rsidTr="002E3E38">
        <w:tc>
          <w:tcPr>
            <w:tcW w:w="7196" w:type="dxa"/>
          </w:tcPr>
          <w:p w14:paraId="08EFEDAE" w14:textId="77777777" w:rsidR="00A2758F" w:rsidRPr="00C57832" w:rsidRDefault="00A2758F" w:rsidP="00C76C93">
            <w:pPr>
              <w:widowControl w:val="0"/>
              <w:spacing w:after="0" w:line="276" w:lineRule="auto"/>
              <w:jc w:val="center"/>
              <w:rPr>
                <w:rFonts w:eastAsia="Times New Roman"/>
                <w:b/>
                <w:szCs w:val="18"/>
                <w:lang w:val="fr-BE" w:eastAsia="nl-NL"/>
              </w:rPr>
            </w:pPr>
            <w:r w:rsidRPr="00C57832">
              <w:rPr>
                <w:rFonts w:eastAsia="Times New Roman"/>
                <w:b/>
                <w:szCs w:val="18"/>
                <w:lang w:val="fr-BE" w:eastAsia="nl-NL"/>
              </w:rPr>
              <w:t>Critères d’exclusion et de sélection</w:t>
            </w:r>
          </w:p>
        </w:tc>
        <w:tc>
          <w:tcPr>
            <w:tcW w:w="2126" w:type="dxa"/>
          </w:tcPr>
          <w:p w14:paraId="777DE0A8" w14:textId="77777777" w:rsidR="00A2758F" w:rsidRPr="00C57832" w:rsidRDefault="00A2758F" w:rsidP="00C76C93">
            <w:pPr>
              <w:widowControl w:val="0"/>
              <w:spacing w:after="0" w:line="276" w:lineRule="auto"/>
              <w:jc w:val="center"/>
              <w:rPr>
                <w:rFonts w:eastAsia="Times New Roman"/>
                <w:b/>
                <w:szCs w:val="18"/>
                <w:lang w:val="fr-BE" w:eastAsia="nl-NL"/>
              </w:rPr>
            </w:pPr>
          </w:p>
        </w:tc>
      </w:tr>
      <w:tr w:rsidR="00A2758F" w:rsidRPr="007174D8" w14:paraId="65891712" w14:textId="77777777" w:rsidTr="002E3E38">
        <w:tc>
          <w:tcPr>
            <w:tcW w:w="7196" w:type="dxa"/>
          </w:tcPr>
          <w:p w14:paraId="03B17EB8" w14:textId="77777777" w:rsidR="00A2758F" w:rsidRPr="00C57832" w:rsidRDefault="00A2758F" w:rsidP="00C76C93">
            <w:pPr>
              <w:widowControl w:val="0"/>
              <w:spacing w:after="0" w:line="276" w:lineRule="auto"/>
              <w:rPr>
                <w:snapToGrid w:val="0"/>
                <w:szCs w:val="18"/>
                <w:lang w:val="fr-BE" w:eastAsia="en-US"/>
              </w:rPr>
            </w:pPr>
            <w:r w:rsidRPr="00C57832">
              <w:rPr>
                <w:snapToGrid w:val="0"/>
                <w:szCs w:val="18"/>
                <w:lang w:val="fr-BE" w:eastAsia="en-US"/>
              </w:rPr>
              <w:t>Une preuve d’inscription au registre de commerce ou équivalent et tous les autres documents utiles qui confirment la compétence du soussigné </w:t>
            </w:r>
          </w:p>
        </w:tc>
        <w:tc>
          <w:tcPr>
            <w:tcW w:w="2126" w:type="dxa"/>
          </w:tcPr>
          <w:p w14:paraId="4B570C8B" w14:textId="77777777" w:rsidR="00A2758F" w:rsidRPr="00C57832" w:rsidRDefault="00A2758F" w:rsidP="00A2758F">
            <w:pPr>
              <w:spacing w:after="0"/>
              <w:jc w:val="both"/>
              <w:rPr>
                <w:rFonts w:eastAsia="Times New Roman" w:cs="Helvetica"/>
                <w:sz w:val="22"/>
                <w:szCs w:val="22"/>
                <w:lang w:val="fr-BE" w:eastAsia="nl-NL"/>
              </w:rPr>
            </w:pPr>
          </w:p>
        </w:tc>
      </w:tr>
      <w:tr w:rsidR="00A2758F" w:rsidRPr="007174D8" w14:paraId="1F7CE1C1" w14:textId="77777777" w:rsidTr="002E3E38">
        <w:tc>
          <w:tcPr>
            <w:tcW w:w="7196" w:type="dxa"/>
          </w:tcPr>
          <w:p w14:paraId="574700ED" w14:textId="24598212" w:rsidR="00A2758F" w:rsidRPr="00C57832" w:rsidRDefault="00A2758F" w:rsidP="00C76C93">
            <w:pPr>
              <w:widowControl w:val="0"/>
              <w:spacing w:after="0" w:line="276" w:lineRule="auto"/>
              <w:rPr>
                <w:snapToGrid w:val="0"/>
                <w:szCs w:val="18"/>
                <w:lang w:val="fr-BE" w:eastAsia="en-US"/>
              </w:rPr>
            </w:pPr>
            <w:r w:rsidRPr="00C57832">
              <w:rPr>
                <w:snapToGrid w:val="0"/>
                <w:szCs w:val="18"/>
                <w:lang w:val="fr-BE" w:eastAsia="en-US"/>
              </w:rPr>
              <w:t xml:space="preserve">Permis et autorisations du soumissionnaire </w:t>
            </w:r>
            <w:r w:rsidR="00030BF0" w:rsidRPr="00C57832">
              <w:rPr>
                <w:snapToGrid w:val="0"/>
                <w:szCs w:val="18"/>
                <w:lang w:val="fr-BE" w:eastAsia="en-US"/>
              </w:rPr>
              <w:t>(</w:t>
            </w:r>
            <w:r w:rsidR="002A6048" w:rsidRPr="00C57832">
              <w:rPr>
                <w:snapToGrid w:val="0"/>
                <w:szCs w:val="18"/>
                <w:lang w:val="fr-BE" w:eastAsia="en-US"/>
              </w:rPr>
              <w:t>le cas échéant</w:t>
            </w:r>
            <w:r w:rsidR="00030BF0" w:rsidRPr="00C57832">
              <w:rPr>
                <w:snapToGrid w:val="0"/>
                <w:szCs w:val="18"/>
                <w:lang w:val="fr-BE" w:eastAsia="en-US"/>
              </w:rPr>
              <w:t xml:space="preserve"> aussi pour la station de transfert)</w:t>
            </w:r>
          </w:p>
        </w:tc>
        <w:tc>
          <w:tcPr>
            <w:tcW w:w="2126" w:type="dxa"/>
          </w:tcPr>
          <w:p w14:paraId="59FB79CF" w14:textId="77777777" w:rsidR="00A2758F" w:rsidRPr="00C57832" w:rsidRDefault="00A2758F" w:rsidP="00A2758F">
            <w:pPr>
              <w:spacing w:after="0"/>
              <w:jc w:val="both"/>
              <w:rPr>
                <w:rFonts w:eastAsia="Times New Roman" w:cs="Helvetica"/>
                <w:sz w:val="22"/>
                <w:szCs w:val="22"/>
                <w:lang w:val="fr-BE" w:eastAsia="nl-NL"/>
              </w:rPr>
            </w:pPr>
          </w:p>
        </w:tc>
      </w:tr>
      <w:tr w:rsidR="00F23C36" w:rsidRPr="007174D8" w14:paraId="111084E8" w14:textId="77777777" w:rsidTr="002E3E38">
        <w:tc>
          <w:tcPr>
            <w:tcW w:w="7196" w:type="dxa"/>
          </w:tcPr>
          <w:p w14:paraId="14ED5DA4" w14:textId="45F86696" w:rsidR="00F23C36" w:rsidRPr="00C57832" w:rsidRDefault="008A3800" w:rsidP="00C76C93">
            <w:pPr>
              <w:widowControl w:val="0"/>
              <w:spacing w:after="0" w:line="276" w:lineRule="auto"/>
              <w:rPr>
                <w:snapToGrid w:val="0"/>
                <w:szCs w:val="18"/>
                <w:lang w:val="fr-BE" w:eastAsia="en-US"/>
              </w:rPr>
            </w:pPr>
            <w:r w:rsidRPr="00C57832">
              <w:rPr>
                <w:lang w:val="fr-BE"/>
              </w:rPr>
              <w:t xml:space="preserve">Document Unique de Marché Européen </w:t>
            </w:r>
            <w:r w:rsidR="00602171" w:rsidRPr="00C57832">
              <w:rPr>
                <w:lang w:val="fr-BE"/>
              </w:rPr>
              <w:t>(</w:t>
            </w:r>
            <w:r w:rsidR="00F23C36" w:rsidRPr="00C57832">
              <w:rPr>
                <w:lang w:val="fr-BE"/>
              </w:rPr>
              <w:t xml:space="preserve">annexe </w:t>
            </w:r>
            <w:r w:rsidRPr="00C57832">
              <w:rPr>
                <w:lang w:val="fr-BE"/>
              </w:rPr>
              <w:t>H</w:t>
            </w:r>
            <w:r w:rsidR="00F23C36" w:rsidRPr="00C57832">
              <w:rPr>
                <w:lang w:val="fr-BE"/>
              </w:rPr>
              <w:t>)</w:t>
            </w:r>
          </w:p>
        </w:tc>
        <w:tc>
          <w:tcPr>
            <w:tcW w:w="2126" w:type="dxa"/>
          </w:tcPr>
          <w:p w14:paraId="712E1CB7" w14:textId="77777777" w:rsidR="00F23C36" w:rsidRPr="00C57832" w:rsidRDefault="00F23C36" w:rsidP="00F23C36">
            <w:pPr>
              <w:spacing w:after="0"/>
              <w:jc w:val="both"/>
              <w:rPr>
                <w:rFonts w:eastAsia="Times New Roman" w:cs="Helvetica"/>
                <w:sz w:val="22"/>
                <w:szCs w:val="22"/>
                <w:lang w:val="fr-BE" w:eastAsia="nl-NL"/>
              </w:rPr>
            </w:pPr>
          </w:p>
        </w:tc>
      </w:tr>
      <w:tr w:rsidR="00A2758F" w:rsidRPr="007174D8" w14:paraId="3699A361" w14:textId="77777777" w:rsidTr="002E3E38">
        <w:tc>
          <w:tcPr>
            <w:tcW w:w="7196" w:type="dxa"/>
          </w:tcPr>
          <w:p w14:paraId="41C76577" w14:textId="76AA2BF7" w:rsidR="00A2758F" w:rsidRPr="00C57832" w:rsidRDefault="00030BF0" w:rsidP="00C76C93">
            <w:pPr>
              <w:widowControl w:val="0"/>
              <w:spacing w:after="0" w:line="276" w:lineRule="auto"/>
              <w:rPr>
                <w:snapToGrid w:val="0"/>
                <w:szCs w:val="18"/>
                <w:lang w:val="fr-BE" w:eastAsia="en-US"/>
              </w:rPr>
            </w:pPr>
            <w:r w:rsidRPr="00C57832">
              <w:rPr>
                <w:snapToGrid w:val="0"/>
                <w:szCs w:val="18"/>
                <w:lang w:val="fr-BE" w:eastAsia="en-US"/>
              </w:rPr>
              <w:t>A</w:t>
            </w:r>
            <w:r w:rsidR="00A2758F" w:rsidRPr="00C57832">
              <w:rPr>
                <w:snapToGrid w:val="0"/>
                <w:szCs w:val="18"/>
                <w:lang w:val="fr-BE" w:eastAsia="en-US"/>
              </w:rPr>
              <w:t>ttestation</w:t>
            </w:r>
            <w:r w:rsidRPr="00C57832">
              <w:rPr>
                <w:snapToGrid w:val="0"/>
                <w:szCs w:val="18"/>
                <w:lang w:val="fr-BE" w:eastAsia="en-US"/>
              </w:rPr>
              <w:t xml:space="preserve"> démontrant le paiement d</w:t>
            </w:r>
            <w:r w:rsidR="00A2758F" w:rsidRPr="00C57832">
              <w:rPr>
                <w:snapToGrid w:val="0"/>
                <w:szCs w:val="18"/>
                <w:lang w:val="fr-BE" w:eastAsia="en-US"/>
              </w:rPr>
              <w:t>es contributions sociales (article 62, § 1 ou § 2 AR Passation)</w:t>
            </w:r>
          </w:p>
        </w:tc>
        <w:tc>
          <w:tcPr>
            <w:tcW w:w="2126" w:type="dxa"/>
          </w:tcPr>
          <w:p w14:paraId="198C4E04" w14:textId="77777777" w:rsidR="00A2758F" w:rsidRPr="00C57832" w:rsidRDefault="00A2758F" w:rsidP="00A2758F">
            <w:pPr>
              <w:spacing w:after="0"/>
              <w:jc w:val="both"/>
              <w:rPr>
                <w:rFonts w:eastAsia="Times New Roman" w:cs="Helvetica"/>
                <w:sz w:val="22"/>
                <w:szCs w:val="22"/>
                <w:lang w:val="fr-BE" w:eastAsia="nl-NL"/>
              </w:rPr>
            </w:pPr>
          </w:p>
        </w:tc>
      </w:tr>
      <w:tr w:rsidR="00A2758F" w:rsidRPr="007174D8" w14:paraId="746B3B76" w14:textId="77777777" w:rsidTr="002E3E38">
        <w:tc>
          <w:tcPr>
            <w:tcW w:w="7196" w:type="dxa"/>
          </w:tcPr>
          <w:p w14:paraId="3F1D955B" w14:textId="65D2CC65" w:rsidR="00A2758F" w:rsidRPr="00C57832" w:rsidRDefault="00A2758F" w:rsidP="00C76C93">
            <w:pPr>
              <w:widowControl w:val="0"/>
              <w:spacing w:after="0" w:line="276" w:lineRule="auto"/>
              <w:rPr>
                <w:snapToGrid w:val="0"/>
                <w:szCs w:val="18"/>
                <w:lang w:val="fr-BE" w:eastAsia="en-US"/>
              </w:rPr>
            </w:pPr>
            <w:r w:rsidRPr="00C57832">
              <w:rPr>
                <w:snapToGrid w:val="0"/>
                <w:szCs w:val="18"/>
                <w:lang w:val="fr-BE" w:eastAsia="en-US"/>
              </w:rPr>
              <w:t xml:space="preserve">Déclaration bancaire (voir annexe </w:t>
            </w:r>
            <w:r w:rsidR="00F072AF" w:rsidRPr="00C57832">
              <w:rPr>
                <w:snapToGrid w:val="0"/>
                <w:szCs w:val="18"/>
                <w:lang w:val="fr-BE" w:eastAsia="en-US"/>
              </w:rPr>
              <w:t>I</w:t>
            </w:r>
            <w:r w:rsidRPr="00C57832">
              <w:rPr>
                <w:snapToGrid w:val="0"/>
                <w:szCs w:val="18"/>
                <w:lang w:val="fr-BE" w:eastAsia="en-US"/>
              </w:rPr>
              <w:t>)</w:t>
            </w:r>
          </w:p>
        </w:tc>
        <w:tc>
          <w:tcPr>
            <w:tcW w:w="2126" w:type="dxa"/>
          </w:tcPr>
          <w:p w14:paraId="6CF7AB15" w14:textId="77777777" w:rsidR="00A2758F" w:rsidRPr="00C57832" w:rsidRDefault="00A2758F" w:rsidP="00A2758F">
            <w:pPr>
              <w:spacing w:after="0"/>
              <w:jc w:val="both"/>
              <w:rPr>
                <w:rFonts w:eastAsia="Times New Roman" w:cs="Helvetica"/>
                <w:sz w:val="22"/>
                <w:szCs w:val="22"/>
                <w:lang w:val="fr-BE" w:eastAsia="nl-NL"/>
              </w:rPr>
            </w:pPr>
          </w:p>
        </w:tc>
      </w:tr>
      <w:tr w:rsidR="00602171" w:rsidRPr="007174D8" w14:paraId="0D7ED92C" w14:textId="77777777" w:rsidTr="002E3E38">
        <w:tc>
          <w:tcPr>
            <w:tcW w:w="7196" w:type="dxa"/>
          </w:tcPr>
          <w:p w14:paraId="448CB679" w14:textId="56265085" w:rsidR="00602171" w:rsidRPr="00C57832" w:rsidRDefault="00602171" w:rsidP="00F072AF">
            <w:pPr>
              <w:widowControl w:val="0"/>
              <w:spacing w:after="0" w:line="276" w:lineRule="auto"/>
              <w:rPr>
                <w:snapToGrid w:val="0"/>
                <w:szCs w:val="18"/>
                <w:lang w:val="fr-BE" w:eastAsia="en-US"/>
              </w:rPr>
            </w:pPr>
            <w:r w:rsidRPr="00C57832">
              <w:rPr>
                <w:lang w:val="fr-BE"/>
              </w:rPr>
              <w:t>Engagement de mise à disposition de moyens (annexe J)</w:t>
            </w:r>
          </w:p>
        </w:tc>
        <w:tc>
          <w:tcPr>
            <w:tcW w:w="2126" w:type="dxa"/>
          </w:tcPr>
          <w:p w14:paraId="65411992" w14:textId="77777777" w:rsidR="00602171" w:rsidRPr="00C57832" w:rsidRDefault="00602171" w:rsidP="00A2758F">
            <w:pPr>
              <w:spacing w:after="0"/>
              <w:jc w:val="both"/>
              <w:rPr>
                <w:rFonts w:eastAsia="Times New Roman" w:cs="Helvetica"/>
                <w:sz w:val="22"/>
                <w:szCs w:val="22"/>
                <w:lang w:val="fr-BE" w:eastAsia="nl-NL"/>
              </w:rPr>
            </w:pPr>
          </w:p>
        </w:tc>
      </w:tr>
      <w:tr w:rsidR="00A2758F" w:rsidRPr="007174D8" w14:paraId="61E78611" w14:textId="77777777" w:rsidTr="002E3E38">
        <w:tc>
          <w:tcPr>
            <w:tcW w:w="7196" w:type="dxa"/>
          </w:tcPr>
          <w:p w14:paraId="50D5215E" w14:textId="77777777" w:rsidR="00A2758F" w:rsidRPr="00C57832" w:rsidRDefault="00A2758F" w:rsidP="00C76C93">
            <w:pPr>
              <w:widowControl w:val="0"/>
              <w:spacing w:after="0" w:line="276" w:lineRule="auto"/>
              <w:rPr>
                <w:snapToGrid w:val="0"/>
                <w:szCs w:val="18"/>
                <w:lang w:val="fr-BE" w:eastAsia="en-US"/>
              </w:rPr>
            </w:pPr>
            <w:r w:rsidRPr="00C57832">
              <w:rPr>
                <w:snapToGrid w:val="0"/>
                <w:szCs w:val="18"/>
                <w:lang w:val="fr-BE" w:eastAsia="en-US"/>
              </w:rPr>
              <w:t>Déclaration concernant le chiffre d’affaires</w:t>
            </w:r>
          </w:p>
        </w:tc>
        <w:tc>
          <w:tcPr>
            <w:tcW w:w="2126" w:type="dxa"/>
          </w:tcPr>
          <w:p w14:paraId="1B6DE499" w14:textId="77777777" w:rsidR="00A2758F" w:rsidRPr="00C57832" w:rsidRDefault="00A2758F" w:rsidP="00A2758F">
            <w:pPr>
              <w:spacing w:after="0"/>
              <w:jc w:val="both"/>
              <w:rPr>
                <w:rFonts w:eastAsia="Times New Roman" w:cs="Helvetica"/>
                <w:sz w:val="22"/>
                <w:szCs w:val="22"/>
                <w:lang w:val="fr-BE" w:eastAsia="nl-NL"/>
              </w:rPr>
            </w:pPr>
          </w:p>
        </w:tc>
      </w:tr>
      <w:tr w:rsidR="00A2758F" w:rsidRPr="007174D8" w14:paraId="2F2E5AEC" w14:textId="77777777" w:rsidTr="002E3E38">
        <w:tc>
          <w:tcPr>
            <w:tcW w:w="7196" w:type="dxa"/>
          </w:tcPr>
          <w:p w14:paraId="0A0F14C5" w14:textId="5BAE46F7" w:rsidR="00A2758F" w:rsidRPr="00C57832" w:rsidRDefault="002D1B29" w:rsidP="00C76C93">
            <w:pPr>
              <w:widowControl w:val="0"/>
              <w:spacing w:after="0" w:line="276" w:lineRule="auto"/>
              <w:rPr>
                <w:snapToGrid w:val="0"/>
                <w:szCs w:val="18"/>
                <w:lang w:val="fr-BE" w:eastAsia="en-US"/>
              </w:rPr>
            </w:pPr>
            <w:r w:rsidRPr="00C57832">
              <w:rPr>
                <w:snapToGrid w:val="0"/>
                <w:szCs w:val="18"/>
                <w:lang w:val="fr-BE" w:eastAsia="en-US"/>
              </w:rPr>
              <w:t>L</w:t>
            </w:r>
            <w:r w:rsidR="00A2758F" w:rsidRPr="00C57832">
              <w:rPr>
                <w:snapToGrid w:val="0"/>
                <w:szCs w:val="18"/>
                <w:lang w:val="fr-BE" w:eastAsia="en-US"/>
              </w:rPr>
              <w:t>iste des principales missions comparables</w:t>
            </w:r>
            <w:r w:rsidR="00A2758F" w:rsidRPr="00C57832" w:rsidDel="000A1299">
              <w:rPr>
                <w:snapToGrid w:val="0"/>
                <w:szCs w:val="18"/>
                <w:lang w:val="fr-BE" w:eastAsia="en-US"/>
              </w:rPr>
              <w:t xml:space="preserve"> </w:t>
            </w:r>
          </w:p>
        </w:tc>
        <w:tc>
          <w:tcPr>
            <w:tcW w:w="2126" w:type="dxa"/>
          </w:tcPr>
          <w:p w14:paraId="7F9C6DD4" w14:textId="77777777" w:rsidR="00A2758F" w:rsidRPr="00C57832" w:rsidRDefault="00A2758F" w:rsidP="00A2758F">
            <w:pPr>
              <w:spacing w:after="0"/>
              <w:jc w:val="both"/>
              <w:rPr>
                <w:rFonts w:eastAsia="Times New Roman" w:cs="Helvetica"/>
                <w:sz w:val="22"/>
                <w:szCs w:val="22"/>
                <w:lang w:val="fr-BE" w:eastAsia="nl-NL"/>
              </w:rPr>
            </w:pPr>
          </w:p>
        </w:tc>
      </w:tr>
      <w:tr w:rsidR="00A2758F" w:rsidRPr="007174D8" w14:paraId="210173AA" w14:textId="77777777" w:rsidTr="002E3E38">
        <w:tc>
          <w:tcPr>
            <w:tcW w:w="7196" w:type="dxa"/>
          </w:tcPr>
          <w:p w14:paraId="2062E1C8" w14:textId="5C08FC56" w:rsidR="00A2758F" w:rsidRPr="00C57832" w:rsidRDefault="00A2758F" w:rsidP="00C76C93">
            <w:pPr>
              <w:widowControl w:val="0"/>
              <w:spacing w:after="0" w:line="276" w:lineRule="auto"/>
              <w:rPr>
                <w:snapToGrid w:val="0"/>
                <w:szCs w:val="18"/>
                <w:lang w:val="fr-BE" w:eastAsia="en-US"/>
              </w:rPr>
            </w:pPr>
            <w:r w:rsidRPr="00C57832">
              <w:rPr>
                <w:snapToGrid w:val="0"/>
                <w:szCs w:val="18"/>
                <w:lang w:val="fr-BE" w:eastAsia="en-US"/>
              </w:rPr>
              <w:t>Liste du personnel technique + formations</w:t>
            </w:r>
            <w:r w:rsidR="00030BF0" w:rsidRPr="00C57832">
              <w:rPr>
                <w:snapToGrid w:val="0"/>
                <w:szCs w:val="18"/>
                <w:lang w:val="fr-BE" w:eastAsia="en-US"/>
              </w:rPr>
              <w:t xml:space="preserve"> techniques</w:t>
            </w:r>
            <w:r w:rsidR="00F23C36" w:rsidRPr="00C57832">
              <w:rPr>
                <w:snapToGrid w:val="0"/>
                <w:szCs w:val="18"/>
                <w:lang w:val="fr-BE" w:eastAsia="en-US"/>
              </w:rPr>
              <w:t xml:space="preserve"> (le cas échéant aussi pour la station de transfert)</w:t>
            </w:r>
          </w:p>
        </w:tc>
        <w:tc>
          <w:tcPr>
            <w:tcW w:w="2126" w:type="dxa"/>
          </w:tcPr>
          <w:p w14:paraId="0C7C8B87" w14:textId="77777777" w:rsidR="00A2758F" w:rsidRPr="00C57832" w:rsidRDefault="00A2758F" w:rsidP="00A2758F">
            <w:pPr>
              <w:spacing w:after="0"/>
              <w:jc w:val="both"/>
              <w:rPr>
                <w:rFonts w:eastAsia="Times New Roman" w:cs="Helvetica"/>
                <w:sz w:val="22"/>
                <w:szCs w:val="22"/>
                <w:lang w:val="fr-BE" w:eastAsia="nl-NL"/>
              </w:rPr>
            </w:pPr>
          </w:p>
        </w:tc>
      </w:tr>
      <w:tr w:rsidR="00A2758F" w:rsidRPr="007174D8" w14:paraId="27D4F7D4" w14:textId="77777777" w:rsidTr="000C3E53">
        <w:trPr>
          <w:trHeight w:val="297"/>
        </w:trPr>
        <w:tc>
          <w:tcPr>
            <w:tcW w:w="7196" w:type="dxa"/>
          </w:tcPr>
          <w:p w14:paraId="4FBF0E62" w14:textId="3C4E26B8" w:rsidR="00A2758F" w:rsidRPr="00C57832" w:rsidRDefault="00A2758F" w:rsidP="00C76C93">
            <w:pPr>
              <w:widowControl w:val="0"/>
              <w:spacing w:after="0" w:line="276" w:lineRule="auto"/>
              <w:rPr>
                <w:snapToGrid w:val="0"/>
                <w:szCs w:val="18"/>
                <w:lang w:val="fr-BE" w:eastAsia="en-US"/>
              </w:rPr>
            </w:pPr>
            <w:r w:rsidRPr="00C57832">
              <w:rPr>
                <w:snapToGrid w:val="0"/>
                <w:szCs w:val="18"/>
                <w:lang w:val="fr-BE" w:eastAsia="en-US"/>
              </w:rPr>
              <w:t xml:space="preserve">Déclaration détaillée </w:t>
            </w:r>
            <w:r w:rsidR="002D1B29" w:rsidRPr="00C57832">
              <w:rPr>
                <w:snapToGrid w:val="0"/>
                <w:szCs w:val="18"/>
                <w:lang w:val="fr-BE" w:eastAsia="en-US"/>
              </w:rPr>
              <w:t>de</w:t>
            </w:r>
            <w:r w:rsidRPr="00C57832">
              <w:rPr>
                <w:snapToGrid w:val="0"/>
                <w:szCs w:val="18"/>
                <w:lang w:val="fr-BE" w:eastAsia="en-US"/>
              </w:rPr>
              <w:t xml:space="preserve"> l’outillage, </w:t>
            </w:r>
            <w:r w:rsidR="00F40ACF" w:rsidRPr="00C57832">
              <w:rPr>
                <w:snapToGrid w:val="0"/>
                <w:szCs w:val="18"/>
                <w:lang w:val="fr-BE" w:eastAsia="en-US"/>
              </w:rPr>
              <w:t>du</w:t>
            </w:r>
            <w:r w:rsidRPr="00C57832">
              <w:rPr>
                <w:snapToGrid w:val="0"/>
                <w:szCs w:val="18"/>
                <w:lang w:val="fr-BE" w:eastAsia="en-US"/>
              </w:rPr>
              <w:t xml:space="preserve"> matériel</w:t>
            </w:r>
            <w:r w:rsidR="00AA539C" w:rsidRPr="00C57832">
              <w:rPr>
                <w:snapToGrid w:val="0"/>
                <w:szCs w:val="18"/>
                <w:lang w:val="fr-BE" w:eastAsia="en-US"/>
              </w:rPr>
              <w:t xml:space="preserve">, </w:t>
            </w:r>
            <w:r w:rsidR="00F40ACF" w:rsidRPr="00C57832">
              <w:rPr>
                <w:snapToGrid w:val="0"/>
                <w:szCs w:val="18"/>
                <w:lang w:val="fr-BE" w:eastAsia="en-US"/>
              </w:rPr>
              <w:t xml:space="preserve">de </w:t>
            </w:r>
            <w:r w:rsidRPr="00C57832">
              <w:rPr>
                <w:snapToGrid w:val="0"/>
                <w:szCs w:val="18"/>
                <w:lang w:val="fr-BE" w:eastAsia="en-US"/>
              </w:rPr>
              <w:t>l’équipement technique</w:t>
            </w:r>
            <w:r w:rsidR="00AA539C" w:rsidRPr="00C57832">
              <w:rPr>
                <w:snapToGrid w:val="0"/>
                <w:szCs w:val="18"/>
                <w:lang w:val="fr-BE" w:eastAsia="en-US"/>
              </w:rPr>
              <w:t xml:space="preserve">, et </w:t>
            </w:r>
            <w:r w:rsidR="00F40ACF" w:rsidRPr="00C57832">
              <w:rPr>
                <w:snapToGrid w:val="0"/>
                <w:szCs w:val="18"/>
                <w:lang w:val="fr-BE" w:eastAsia="en-US"/>
              </w:rPr>
              <w:t>du</w:t>
            </w:r>
            <w:r w:rsidR="00AA539C" w:rsidRPr="00C57832">
              <w:rPr>
                <w:snapToGrid w:val="0"/>
                <w:szCs w:val="18"/>
                <w:lang w:val="fr-BE" w:eastAsia="en-US"/>
              </w:rPr>
              <w:t xml:space="preserve"> processus technologique</w:t>
            </w:r>
            <w:r w:rsidR="00030BF0" w:rsidRPr="00C57832">
              <w:rPr>
                <w:snapToGrid w:val="0"/>
                <w:szCs w:val="18"/>
                <w:lang w:val="fr-BE" w:eastAsia="en-US"/>
              </w:rPr>
              <w:t xml:space="preserve"> (</w:t>
            </w:r>
            <w:r w:rsidR="00AA539C" w:rsidRPr="00C57832">
              <w:rPr>
                <w:snapToGrid w:val="0"/>
                <w:szCs w:val="18"/>
                <w:lang w:val="fr-BE" w:eastAsia="en-US"/>
              </w:rPr>
              <w:t>le cas échéant</w:t>
            </w:r>
            <w:r w:rsidR="00030BF0" w:rsidRPr="00C57832">
              <w:rPr>
                <w:snapToGrid w:val="0"/>
                <w:szCs w:val="18"/>
                <w:lang w:val="fr-BE" w:eastAsia="en-US"/>
              </w:rPr>
              <w:t xml:space="preserve"> aussi pour la station de transfert)</w:t>
            </w:r>
          </w:p>
        </w:tc>
        <w:tc>
          <w:tcPr>
            <w:tcW w:w="2126" w:type="dxa"/>
          </w:tcPr>
          <w:p w14:paraId="6F97A655" w14:textId="77777777" w:rsidR="00A2758F" w:rsidRPr="00C57832" w:rsidRDefault="00A2758F" w:rsidP="00A2758F">
            <w:pPr>
              <w:spacing w:after="0"/>
              <w:jc w:val="both"/>
              <w:rPr>
                <w:rFonts w:eastAsia="Times New Roman" w:cs="Helvetica"/>
                <w:sz w:val="22"/>
                <w:szCs w:val="22"/>
                <w:lang w:val="fr-BE" w:eastAsia="nl-NL"/>
              </w:rPr>
            </w:pPr>
          </w:p>
        </w:tc>
      </w:tr>
      <w:tr w:rsidR="00A2758F" w:rsidRPr="007174D8" w14:paraId="393E2AAE" w14:textId="77777777" w:rsidTr="002E3E38">
        <w:tc>
          <w:tcPr>
            <w:tcW w:w="7196" w:type="dxa"/>
          </w:tcPr>
          <w:p w14:paraId="303437B0" w14:textId="1D30251B" w:rsidR="00A2758F" w:rsidRPr="00C57832" w:rsidRDefault="00A2758F" w:rsidP="00C76C93">
            <w:pPr>
              <w:widowControl w:val="0"/>
              <w:spacing w:after="0" w:line="276" w:lineRule="auto"/>
              <w:rPr>
                <w:snapToGrid w:val="0"/>
                <w:szCs w:val="18"/>
                <w:lang w:val="fr-BE" w:eastAsia="en-US"/>
              </w:rPr>
            </w:pPr>
            <w:r w:rsidRPr="00C57832">
              <w:rPr>
                <w:snapToGrid w:val="0"/>
                <w:szCs w:val="18"/>
                <w:lang w:val="fr-BE" w:eastAsia="en-US"/>
              </w:rPr>
              <w:t>Description des outils informatiques</w:t>
            </w:r>
            <w:r w:rsidRPr="00C57832" w:rsidDel="00811952">
              <w:rPr>
                <w:snapToGrid w:val="0"/>
                <w:szCs w:val="18"/>
                <w:lang w:val="fr-BE" w:eastAsia="en-US"/>
              </w:rPr>
              <w:t xml:space="preserve"> </w:t>
            </w:r>
            <w:r w:rsidRPr="00C57832">
              <w:rPr>
                <w:snapToGrid w:val="0"/>
                <w:szCs w:val="18"/>
                <w:lang w:val="fr-BE" w:eastAsia="en-US"/>
              </w:rPr>
              <w:t xml:space="preserve">(hardware/software) </w:t>
            </w:r>
            <w:r w:rsidR="00030BF0" w:rsidRPr="00C57832">
              <w:rPr>
                <w:snapToGrid w:val="0"/>
                <w:szCs w:val="18"/>
                <w:lang w:val="fr-BE" w:eastAsia="en-US"/>
              </w:rPr>
              <w:t>(</w:t>
            </w:r>
            <w:r w:rsidR="00AA539C" w:rsidRPr="00C57832">
              <w:rPr>
                <w:snapToGrid w:val="0"/>
                <w:szCs w:val="18"/>
                <w:lang w:val="fr-BE" w:eastAsia="en-US"/>
              </w:rPr>
              <w:t xml:space="preserve">le cas échéant </w:t>
            </w:r>
            <w:r w:rsidR="00030BF0" w:rsidRPr="00C57832">
              <w:rPr>
                <w:snapToGrid w:val="0"/>
                <w:szCs w:val="18"/>
                <w:lang w:val="fr-BE" w:eastAsia="en-US"/>
              </w:rPr>
              <w:t>aussi pour la station de transfert)</w:t>
            </w:r>
          </w:p>
        </w:tc>
        <w:tc>
          <w:tcPr>
            <w:tcW w:w="2126" w:type="dxa"/>
          </w:tcPr>
          <w:p w14:paraId="5E493334" w14:textId="77777777" w:rsidR="00A2758F" w:rsidRPr="00C57832" w:rsidRDefault="00A2758F" w:rsidP="00A2758F">
            <w:pPr>
              <w:spacing w:after="0"/>
              <w:jc w:val="both"/>
              <w:rPr>
                <w:rFonts w:eastAsia="Times New Roman" w:cs="Helvetica"/>
                <w:sz w:val="22"/>
                <w:szCs w:val="22"/>
                <w:lang w:val="fr-BE" w:eastAsia="nl-NL"/>
              </w:rPr>
            </w:pPr>
          </w:p>
        </w:tc>
      </w:tr>
      <w:tr w:rsidR="00A2758F" w:rsidRPr="007174D8" w14:paraId="23FE8F21" w14:textId="77777777" w:rsidTr="002E3E38">
        <w:tc>
          <w:tcPr>
            <w:tcW w:w="7196" w:type="dxa"/>
          </w:tcPr>
          <w:p w14:paraId="5FC27859" w14:textId="46FEEA4A" w:rsidR="00A2758F" w:rsidRPr="00C57832" w:rsidRDefault="00A2758F" w:rsidP="00C76C93">
            <w:pPr>
              <w:widowControl w:val="0"/>
              <w:spacing w:after="0" w:line="276" w:lineRule="auto"/>
              <w:rPr>
                <w:snapToGrid w:val="0"/>
                <w:szCs w:val="18"/>
                <w:lang w:val="fr-BE" w:eastAsia="en-US"/>
              </w:rPr>
            </w:pPr>
            <w:r w:rsidRPr="00C57832">
              <w:rPr>
                <w:snapToGrid w:val="0"/>
                <w:szCs w:val="18"/>
                <w:lang w:val="fr-BE" w:eastAsia="en-US"/>
              </w:rPr>
              <w:t>Liste des activités en sous-traitance + liste de</w:t>
            </w:r>
            <w:r w:rsidR="00785649" w:rsidRPr="00C57832">
              <w:rPr>
                <w:snapToGrid w:val="0"/>
                <w:szCs w:val="18"/>
                <w:lang w:val="fr-BE" w:eastAsia="en-US"/>
              </w:rPr>
              <w:t>s</w:t>
            </w:r>
            <w:r w:rsidRPr="00C57832">
              <w:rPr>
                <w:snapToGrid w:val="0"/>
                <w:szCs w:val="18"/>
                <w:lang w:val="fr-BE" w:eastAsia="en-US"/>
              </w:rPr>
              <w:t xml:space="preserve"> sous-traitants </w:t>
            </w:r>
          </w:p>
        </w:tc>
        <w:tc>
          <w:tcPr>
            <w:tcW w:w="2126" w:type="dxa"/>
          </w:tcPr>
          <w:p w14:paraId="428FDC2D" w14:textId="77777777" w:rsidR="00A2758F" w:rsidRPr="00C57832" w:rsidRDefault="00A2758F" w:rsidP="00A2758F">
            <w:pPr>
              <w:spacing w:after="0"/>
              <w:jc w:val="both"/>
              <w:rPr>
                <w:rFonts w:eastAsia="Times New Roman" w:cs="Helvetica"/>
                <w:sz w:val="22"/>
                <w:szCs w:val="22"/>
                <w:lang w:val="fr-BE" w:eastAsia="nl-NL"/>
              </w:rPr>
            </w:pPr>
          </w:p>
        </w:tc>
      </w:tr>
      <w:tr w:rsidR="00030BF0" w:rsidRPr="007174D8" w14:paraId="2210A0F9" w14:textId="6B6970E5" w:rsidTr="002E3E38">
        <w:tc>
          <w:tcPr>
            <w:tcW w:w="7196" w:type="dxa"/>
          </w:tcPr>
          <w:p w14:paraId="0F5A04C0" w14:textId="4D1550A2" w:rsidR="00030BF0" w:rsidRPr="00C57832" w:rsidRDefault="00030BF0" w:rsidP="00C76C93">
            <w:pPr>
              <w:widowControl w:val="0"/>
              <w:spacing w:after="0" w:line="276" w:lineRule="auto"/>
              <w:rPr>
                <w:snapToGrid w:val="0"/>
                <w:szCs w:val="18"/>
                <w:lang w:val="fr-BE" w:eastAsia="en-US"/>
              </w:rPr>
            </w:pPr>
            <w:r w:rsidRPr="00C57832">
              <w:rPr>
                <w:snapToGrid w:val="0"/>
                <w:szCs w:val="18"/>
                <w:lang w:val="fr-BE" w:eastAsia="en-US"/>
              </w:rPr>
              <w:t>Déclaration que le soumissionnaire accepte et est capable de charger et vidanger les conteneurs dont il n’est pas propriétaire</w:t>
            </w:r>
          </w:p>
        </w:tc>
        <w:tc>
          <w:tcPr>
            <w:tcW w:w="2126" w:type="dxa"/>
          </w:tcPr>
          <w:p w14:paraId="0B74FCBD" w14:textId="45C32B85" w:rsidR="00030BF0" w:rsidRPr="00C57832" w:rsidRDefault="00030BF0" w:rsidP="00A2758F">
            <w:pPr>
              <w:spacing w:after="0"/>
              <w:jc w:val="both"/>
              <w:rPr>
                <w:rFonts w:eastAsia="Times New Roman" w:cs="Helvetica"/>
                <w:sz w:val="22"/>
                <w:szCs w:val="22"/>
                <w:lang w:val="fr-BE" w:eastAsia="nl-NL"/>
              </w:rPr>
            </w:pPr>
          </w:p>
        </w:tc>
      </w:tr>
      <w:tr w:rsidR="00A2758F" w:rsidRPr="007174D8" w14:paraId="76810E37" w14:textId="77777777" w:rsidTr="002E3E38">
        <w:tc>
          <w:tcPr>
            <w:tcW w:w="7196" w:type="dxa"/>
          </w:tcPr>
          <w:p w14:paraId="77C5A43A" w14:textId="5B0C427E" w:rsidR="00A2758F" w:rsidRPr="00C57832" w:rsidRDefault="00A2758F" w:rsidP="00C76C93">
            <w:pPr>
              <w:widowControl w:val="0"/>
              <w:spacing w:after="0" w:line="276" w:lineRule="auto"/>
              <w:rPr>
                <w:snapToGrid w:val="0"/>
                <w:szCs w:val="18"/>
                <w:lang w:val="fr-BE" w:eastAsia="en-US"/>
              </w:rPr>
            </w:pPr>
            <w:r w:rsidRPr="00C57832">
              <w:rPr>
                <w:snapToGrid w:val="0"/>
                <w:szCs w:val="18"/>
                <w:lang w:val="fr-BE" w:eastAsia="en-US"/>
              </w:rPr>
              <w:t>Certificat d’étalonnage récent des ponts de p</w:t>
            </w:r>
            <w:r w:rsidR="00AA539C" w:rsidRPr="00C57832">
              <w:rPr>
                <w:snapToGrid w:val="0"/>
                <w:szCs w:val="18"/>
                <w:lang w:val="fr-BE" w:eastAsia="en-US"/>
              </w:rPr>
              <w:t xml:space="preserve">esée </w:t>
            </w:r>
            <w:r w:rsidRPr="00C57832">
              <w:rPr>
                <w:snapToGrid w:val="0"/>
                <w:szCs w:val="18"/>
                <w:lang w:val="fr-BE" w:eastAsia="en-US"/>
              </w:rPr>
              <w:t>et de la balance pour les balles de la station de transfert (si applicable)</w:t>
            </w:r>
          </w:p>
        </w:tc>
        <w:tc>
          <w:tcPr>
            <w:tcW w:w="2126" w:type="dxa"/>
          </w:tcPr>
          <w:p w14:paraId="743A2A98" w14:textId="77777777" w:rsidR="00A2758F" w:rsidRPr="00C57832" w:rsidRDefault="00A2758F" w:rsidP="00A2758F">
            <w:pPr>
              <w:spacing w:after="0"/>
              <w:jc w:val="both"/>
              <w:rPr>
                <w:rFonts w:eastAsia="Times New Roman" w:cs="Helvetica"/>
                <w:sz w:val="22"/>
                <w:szCs w:val="22"/>
                <w:lang w:val="fr-BE" w:eastAsia="nl-NL"/>
              </w:rPr>
            </w:pPr>
          </w:p>
        </w:tc>
      </w:tr>
      <w:tr w:rsidR="00A2758F" w:rsidRPr="00C57832" w14:paraId="0B702174" w14:textId="77777777" w:rsidTr="002E3E38">
        <w:tc>
          <w:tcPr>
            <w:tcW w:w="7196" w:type="dxa"/>
          </w:tcPr>
          <w:p w14:paraId="500B3DB4" w14:textId="724F0D1C" w:rsidR="00A2758F" w:rsidRPr="00C57832" w:rsidRDefault="00A2758F" w:rsidP="00C76C93">
            <w:pPr>
              <w:widowControl w:val="0"/>
              <w:spacing w:after="0" w:line="276" w:lineRule="auto"/>
              <w:jc w:val="center"/>
              <w:rPr>
                <w:rFonts w:eastAsia="Times New Roman" w:cs="Helvetica"/>
                <w:b/>
                <w:sz w:val="22"/>
                <w:szCs w:val="22"/>
                <w:lang w:val="fr-BE" w:eastAsia="nl-NL"/>
              </w:rPr>
            </w:pPr>
            <w:r w:rsidRPr="00C57832">
              <w:rPr>
                <w:rFonts w:eastAsia="Times New Roman"/>
                <w:b/>
                <w:szCs w:val="18"/>
                <w:lang w:val="fr-BE" w:eastAsia="nl-NL"/>
              </w:rPr>
              <w:t>Critères d’attribution</w:t>
            </w:r>
          </w:p>
        </w:tc>
        <w:tc>
          <w:tcPr>
            <w:tcW w:w="2126" w:type="dxa"/>
          </w:tcPr>
          <w:p w14:paraId="5A4B079E" w14:textId="77777777" w:rsidR="00A2758F" w:rsidRPr="00C57832" w:rsidRDefault="00A2758F" w:rsidP="00A2758F">
            <w:pPr>
              <w:spacing w:after="0"/>
              <w:jc w:val="both"/>
              <w:rPr>
                <w:rFonts w:eastAsia="Times New Roman" w:cs="Helvetica"/>
                <w:sz w:val="22"/>
                <w:szCs w:val="22"/>
                <w:lang w:val="fr-BE" w:eastAsia="nl-NL"/>
              </w:rPr>
            </w:pPr>
          </w:p>
        </w:tc>
      </w:tr>
      <w:tr w:rsidR="00A2758F" w:rsidRPr="00C57832" w14:paraId="1F67D7F5" w14:textId="77777777" w:rsidTr="002E3E38">
        <w:tc>
          <w:tcPr>
            <w:tcW w:w="7196" w:type="dxa"/>
          </w:tcPr>
          <w:p w14:paraId="67C00594" w14:textId="1C8D807C" w:rsidR="00A2758F" w:rsidRPr="00C57832" w:rsidRDefault="00A2758F" w:rsidP="00A2758F">
            <w:pPr>
              <w:spacing w:after="0" w:line="276" w:lineRule="auto"/>
              <w:jc w:val="center"/>
              <w:rPr>
                <w:i/>
                <w:snapToGrid w:val="0"/>
                <w:sz w:val="20"/>
                <w:szCs w:val="22"/>
                <w:lang w:val="fr-BE" w:eastAsia="en-US"/>
              </w:rPr>
            </w:pPr>
            <w:r w:rsidRPr="00C57832">
              <w:rPr>
                <w:i/>
                <w:snapToGrid w:val="0"/>
                <w:sz w:val="20"/>
                <w:szCs w:val="22"/>
                <w:lang w:val="fr-BE" w:eastAsia="en-US"/>
              </w:rPr>
              <w:t xml:space="preserve">Qualité </w:t>
            </w:r>
          </w:p>
        </w:tc>
        <w:tc>
          <w:tcPr>
            <w:tcW w:w="2126" w:type="dxa"/>
          </w:tcPr>
          <w:p w14:paraId="4CA2DF93" w14:textId="77777777" w:rsidR="00A2758F" w:rsidRPr="00C57832" w:rsidRDefault="00A2758F" w:rsidP="00A2758F">
            <w:pPr>
              <w:spacing w:after="0"/>
              <w:jc w:val="both"/>
              <w:rPr>
                <w:rFonts w:eastAsia="Times New Roman" w:cs="Helvetica"/>
                <w:sz w:val="22"/>
                <w:szCs w:val="22"/>
                <w:lang w:val="fr-BE" w:eastAsia="nl-NL"/>
              </w:rPr>
            </w:pPr>
          </w:p>
        </w:tc>
      </w:tr>
      <w:tr w:rsidR="00A2758F" w:rsidRPr="007174D8" w14:paraId="07BBBFA3" w14:textId="77777777" w:rsidTr="002E3E38">
        <w:tc>
          <w:tcPr>
            <w:tcW w:w="7196" w:type="dxa"/>
          </w:tcPr>
          <w:p w14:paraId="6DD48567" w14:textId="70EA9AD1" w:rsidR="00A2758F" w:rsidRPr="00C57832" w:rsidRDefault="000C3E53" w:rsidP="00C76C93">
            <w:pPr>
              <w:widowControl w:val="0"/>
              <w:spacing w:after="0" w:line="276" w:lineRule="auto"/>
              <w:rPr>
                <w:snapToGrid w:val="0"/>
                <w:szCs w:val="18"/>
                <w:lang w:val="fr-BE" w:eastAsia="en-US"/>
              </w:rPr>
            </w:pPr>
            <w:r w:rsidRPr="00C57832">
              <w:rPr>
                <w:snapToGrid w:val="0"/>
                <w:szCs w:val="18"/>
                <w:lang w:val="fr-BE" w:eastAsia="en-US"/>
              </w:rPr>
              <w:t xml:space="preserve">Planning du schéma de collecte en porte-à-porte </w:t>
            </w:r>
          </w:p>
        </w:tc>
        <w:tc>
          <w:tcPr>
            <w:tcW w:w="2126" w:type="dxa"/>
          </w:tcPr>
          <w:p w14:paraId="0D0EB17D" w14:textId="77777777" w:rsidR="00A2758F" w:rsidRPr="00C57832" w:rsidRDefault="00A2758F" w:rsidP="00A2758F">
            <w:pPr>
              <w:spacing w:after="0"/>
              <w:jc w:val="both"/>
              <w:rPr>
                <w:rFonts w:eastAsia="Times New Roman" w:cs="Helvetica"/>
                <w:sz w:val="22"/>
                <w:szCs w:val="22"/>
                <w:lang w:val="fr-BE" w:eastAsia="nl-NL"/>
              </w:rPr>
            </w:pPr>
          </w:p>
        </w:tc>
      </w:tr>
      <w:tr w:rsidR="00A2758F" w:rsidRPr="007174D8" w14:paraId="4CA1E92C" w14:textId="77777777" w:rsidTr="002E3E38">
        <w:tc>
          <w:tcPr>
            <w:tcW w:w="7196" w:type="dxa"/>
          </w:tcPr>
          <w:p w14:paraId="48B37EAC" w14:textId="03814798" w:rsidR="00A2758F" w:rsidRPr="00C57832" w:rsidRDefault="000C3E53" w:rsidP="00C76C93">
            <w:pPr>
              <w:widowControl w:val="0"/>
              <w:spacing w:after="0" w:line="276" w:lineRule="auto"/>
              <w:rPr>
                <w:snapToGrid w:val="0"/>
                <w:szCs w:val="18"/>
                <w:lang w:val="fr-BE" w:eastAsia="en-US"/>
              </w:rPr>
            </w:pPr>
            <w:r w:rsidRPr="00C57832">
              <w:rPr>
                <w:snapToGrid w:val="0"/>
                <w:szCs w:val="18"/>
                <w:lang w:val="fr-BE" w:eastAsia="en-US"/>
              </w:rPr>
              <w:t xml:space="preserve">Déclaration du nombre de véhicules </w:t>
            </w:r>
            <w:r w:rsidR="00AA539C" w:rsidRPr="00C57832">
              <w:rPr>
                <w:snapToGrid w:val="0"/>
                <w:szCs w:val="18"/>
                <w:lang w:val="fr-BE" w:eastAsia="en-US"/>
              </w:rPr>
              <w:t>et de leurs caractéristiques techniques</w:t>
            </w:r>
          </w:p>
        </w:tc>
        <w:tc>
          <w:tcPr>
            <w:tcW w:w="2126" w:type="dxa"/>
          </w:tcPr>
          <w:p w14:paraId="290F57A4" w14:textId="77777777" w:rsidR="00A2758F" w:rsidRPr="00C57832" w:rsidRDefault="00A2758F" w:rsidP="00A2758F">
            <w:pPr>
              <w:spacing w:after="0"/>
              <w:jc w:val="both"/>
              <w:rPr>
                <w:rFonts w:eastAsia="Times New Roman" w:cs="Helvetica"/>
                <w:sz w:val="22"/>
                <w:szCs w:val="22"/>
                <w:lang w:val="fr-BE" w:eastAsia="nl-NL"/>
              </w:rPr>
            </w:pPr>
          </w:p>
        </w:tc>
      </w:tr>
      <w:tr w:rsidR="00A2758F" w:rsidRPr="007174D8" w14:paraId="00CD5924" w14:textId="77777777" w:rsidTr="002E3E38">
        <w:tc>
          <w:tcPr>
            <w:tcW w:w="7196" w:type="dxa"/>
          </w:tcPr>
          <w:p w14:paraId="7A7B1878" w14:textId="732506BB" w:rsidR="00A2758F" w:rsidRPr="00C57832" w:rsidRDefault="000C3E53" w:rsidP="00C76C93">
            <w:pPr>
              <w:widowControl w:val="0"/>
              <w:spacing w:after="0" w:line="276" w:lineRule="auto"/>
              <w:rPr>
                <w:snapToGrid w:val="0"/>
                <w:szCs w:val="18"/>
                <w:lang w:val="fr-BE" w:eastAsia="en-US"/>
              </w:rPr>
            </w:pPr>
            <w:r w:rsidRPr="00C57832">
              <w:rPr>
                <w:snapToGrid w:val="0"/>
                <w:szCs w:val="18"/>
                <w:lang w:val="fr-BE" w:eastAsia="en-US"/>
              </w:rPr>
              <w:t>Déclaration du nombre de véhicules de réserve</w:t>
            </w:r>
            <w:r w:rsidR="00AA539C" w:rsidRPr="00C57832">
              <w:rPr>
                <w:snapToGrid w:val="0"/>
                <w:szCs w:val="18"/>
                <w:lang w:val="fr-BE" w:eastAsia="en-US"/>
              </w:rPr>
              <w:t xml:space="preserve"> et de leurs caractéristiques techniques</w:t>
            </w:r>
          </w:p>
        </w:tc>
        <w:tc>
          <w:tcPr>
            <w:tcW w:w="2126" w:type="dxa"/>
          </w:tcPr>
          <w:p w14:paraId="5F66AB7A" w14:textId="77777777" w:rsidR="00A2758F" w:rsidRPr="00C57832" w:rsidRDefault="00A2758F" w:rsidP="00A2758F">
            <w:pPr>
              <w:spacing w:after="0"/>
              <w:jc w:val="both"/>
              <w:rPr>
                <w:rFonts w:eastAsia="Times New Roman" w:cs="Helvetica"/>
                <w:sz w:val="22"/>
                <w:szCs w:val="22"/>
                <w:lang w:val="fr-BE" w:eastAsia="nl-NL"/>
              </w:rPr>
            </w:pPr>
          </w:p>
        </w:tc>
      </w:tr>
      <w:tr w:rsidR="00A2758F" w:rsidRPr="007174D8" w14:paraId="7546D5BF" w14:textId="128BBD92" w:rsidTr="002E3E38">
        <w:tc>
          <w:tcPr>
            <w:tcW w:w="7196" w:type="dxa"/>
          </w:tcPr>
          <w:p w14:paraId="60E16A2E" w14:textId="005FB2C5" w:rsidR="00A2758F" w:rsidRPr="00C57832" w:rsidRDefault="000C3E53" w:rsidP="00C76C93">
            <w:pPr>
              <w:widowControl w:val="0"/>
              <w:spacing w:after="0" w:line="276" w:lineRule="auto"/>
              <w:rPr>
                <w:snapToGrid w:val="0"/>
                <w:szCs w:val="18"/>
                <w:lang w:val="fr-BE" w:eastAsia="en-US"/>
              </w:rPr>
            </w:pPr>
            <w:r w:rsidRPr="00C57832">
              <w:rPr>
                <w:snapToGrid w:val="0"/>
                <w:szCs w:val="18"/>
                <w:lang w:val="fr-BE" w:eastAsia="en-US"/>
              </w:rPr>
              <w:t>Description complète de chaque type de conteneur proposé et description des moyens de couverture de ces conteneurs</w:t>
            </w:r>
          </w:p>
        </w:tc>
        <w:tc>
          <w:tcPr>
            <w:tcW w:w="2126" w:type="dxa"/>
          </w:tcPr>
          <w:p w14:paraId="42B35814" w14:textId="242DF7E4" w:rsidR="00A2758F" w:rsidRPr="00C57832" w:rsidRDefault="00A2758F" w:rsidP="00A2758F">
            <w:pPr>
              <w:spacing w:after="0"/>
              <w:jc w:val="both"/>
              <w:rPr>
                <w:rFonts w:eastAsia="Times New Roman" w:cs="Helvetica"/>
                <w:sz w:val="22"/>
                <w:szCs w:val="22"/>
                <w:lang w:val="fr-BE" w:eastAsia="nl-NL"/>
              </w:rPr>
            </w:pPr>
          </w:p>
        </w:tc>
      </w:tr>
      <w:tr w:rsidR="008A3A28" w:rsidRPr="007174D8" w14:paraId="0A6B496B" w14:textId="77777777" w:rsidTr="002E3E38">
        <w:tc>
          <w:tcPr>
            <w:tcW w:w="7196" w:type="dxa"/>
          </w:tcPr>
          <w:p w14:paraId="334A51A2" w14:textId="4DD1E344" w:rsidR="008A3A28" w:rsidRPr="00C57832" w:rsidRDefault="00AF6051" w:rsidP="00C76C93">
            <w:pPr>
              <w:widowControl w:val="0"/>
              <w:spacing w:after="0" w:line="276" w:lineRule="auto"/>
              <w:rPr>
                <w:snapToGrid w:val="0"/>
                <w:szCs w:val="18"/>
                <w:lang w:val="fr-BE" w:eastAsia="en-US"/>
              </w:rPr>
            </w:pPr>
            <w:r w:rsidRPr="00C57832">
              <w:rPr>
                <w:snapToGrid w:val="0"/>
                <w:szCs w:val="18"/>
                <w:lang w:val="fr-BE" w:eastAsia="en-US"/>
              </w:rPr>
              <w:t>Description</w:t>
            </w:r>
            <w:r w:rsidR="008A3A28" w:rsidRPr="00C57832">
              <w:rPr>
                <w:snapToGrid w:val="0"/>
                <w:szCs w:val="18"/>
                <w:lang w:val="fr-BE" w:eastAsia="en-US"/>
              </w:rPr>
              <w:t xml:space="preserve"> des mesures pour garantir la qualité des services</w:t>
            </w:r>
            <w:r w:rsidR="00467792" w:rsidRPr="00C57832">
              <w:rPr>
                <w:snapToGrid w:val="0"/>
                <w:szCs w:val="18"/>
                <w:lang w:val="fr-BE" w:eastAsia="en-US"/>
              </w:rPr>
              <w:t xml:space="preserve"> (y compris sous-traitant(s) et station(s) de transfert éventuels)</w:t>
            </w:r>
          </w:p>
        </w:tc>
        <w:tc>
          <w:tcPr>
            <w:tcW w:w="2126" w:type="dxa"/>
          </w:tcPr>
          <w:p w14:paraId="452A7F87" w14:textId="77777777" w:rsidR="008A3A28" w:rsidRPr="00C57832" w:rsidRDefault="008A3A28" w:rsidP="00A2758F">
            <w:pPr>
              <w:spacing w:after="0"/>
              <w:jc w:val="both"/>
              <w:rPr>
                <w:rFonts w:eastAsia="Times New Roman" w:cs="Helvetica"/>
                <w:sz w:val="22"/>
                <w:szCs w:val="22"/>
                <w:lang w:val="fr-BE" w:eastAsia="nl-NL"/>
              </w:rPr>
            </w:pPr>
          </w:p>
        </w:tc>
      </w:tr>
      <w:tr w:rsidR="008A3A28" w:rsidRPr="007174D8" w14:paraId="7CD0A4D8" w14:textId="77777777" w:rsidTr="002E3E38">
        <w:tc>
          <w:tcPr>
            <w:tcW w:w="7196" w:type="dxa"/>
          </w:tcPr>
          <w:p w14:paraId="0A5F78B3" w14:textId="01ACCA9B" w:rsidR="008A3A28" w:rsidRPr="00C57832" w:rsidRDefault="008A3A28" w:rsidP="00C76C93">
            <w:pPr>
              <w:widowControl w:val="0"/>
              <w:spacing w:after="0" w:line="276" w:lineRule="auto"/>
              <w:rPr>
                <w:snapToGrid w:val="0"/>
                <w:szCs w:val="18"/>
                <w:lang w:val="fr-BE" w:eastAsia="en-US"/>
              </w:rPr>
            </w:pPr>
            <w:r w:rsidRPr="00C57832">
              <w:rPr>
                <w:snapToGrid w:val="0"/>
                <w:szCs w:val="18"/>
                <w:lang w:val="fr-BE" w:eastAsia="en-US"/>
              </w:rPr>
              <w:t xml:space="preserve">Description du plan d’approche proposé dans le cas de diverses situations </w:t>
            </w:r>
            <w:r w:rsidR="00467792" w:rsidRPr="00C57832">
              <w:rPr>
                <w:snapToGrid w:val="0"/>
                <w:szCs w:val="18"/>
                <w:lang w:val="fr-BE" w:eastAsia="en-US"/>
              </w:rPr>
              <w:t>(le cas échéant aussi pour la station de transfert)</w:t>
            </w:r>
          </w:p>
        </w:tc>
        <w:tc>
          <w:tcPr>
            <w:tcW w:w="2126" w:type="dxa"/>
          </w:tcPr>
          <w:p w14:paraId="0BA6106C" w14:textId="77777777" w:rsidR="008A3A28" w:rsidRPr="00C57832" w:rsidRDefault="008A3A28" w:rsidP="008A3A28">
            <w:pPr>
              <w:spacing w:after="0"/>
              <w:jc w:val="both"/>
              <w:rPr>
                <w:rFonts w:eastAsia="Times New Roman" w:cs="Helvetica"/>
                <w:sz w:val="22"/>
                <w:szCs w:val="22"/>
                <w:lang w:val="fr-BE" w:eastAsia="nl-NL"/>
              </w:rPr>
            </w:pPr>
          </w:p>
        </w:tc>
      </w:tr>
      <w:tr w:rsidR="008A3A28" w:rsidRPr="007174D8" w14:paraId="43BDD397" w14:textId="77777777" w:rsidTr="002E3E38">
        <w:tc>
          <w:tcPr>
            <w:tcW w:w="7196" w:type="dxa"/>
          </w:tcPr>
          <w:p w14:paraId="6B50F9B6" w14:textId="3E88E9CF" w:rsidR="008A3A28" w:rsidRPr="00C57832" w:rsidRDefault="008A3A28" w:rsidP="00C76C93">
            <w:pPr>
              <w:widowControl w:val="0"/>
              <w:spacing w:after="0" w:line="276" w:lineRule="auto"/>
              <w:rPr>
                <w:snapToGrid w:val="0"/>
                <w:szCs w:val="18"/>
                <w:lang w:val="fr-BE" w:eastAsia="en-US"/>
              </w:rPr>
            </w:pPr>
            <w:r w:rsidRPr="00C57832">
              <w:rPr>
                <w:snapToGrid w:val="0"/>
                <w:szCs w:val="18"/>
                <w:lang w:val="fr-BE" w:eastAsia="en-US"/>
              </w:rPr>
              <w:t xml:space="preserve">Description du système de </w:t>
            </w:r>
            <w:r w:rsidR="00467792" w:rsidRPr="00C57832">
              <w:rPr>
                <w:snapToGrid w:val="0"/>
                <w:szCs w:val="18"/>
                <w:lang w:val="fr-BE" w:eastAsia="en-US"/>
              </w:rPr>
              <w:t xml:space="preserve">suivi des </w:t>
            </w:r>
            <w:r w:rsidRPr="00C57832">
              <w:rPr>
                <w:snapToGrid w:val="0"/>
                <w:szCs w:val="18"/>
                <w:lang w:val="fr-BE" w:eastAsia="en-US"/>
              </w:rPr>
              <w:t>plaintes </w:t>
            </w:r>
            <w:r w:rsidR="00467792" w:rsidRPr="00C57832">
              <w:rPr>
                <w:snapToGrid w:val="0"/>
                <w:szCs w:val="18"/>
                <w:lang w:val="fr-BE" w:eastAsia="en-US"/>
              </w:rPr>
              <w:t>(le cas échéant aussi pour la station de transfert)</w:t>
            </w:r>
          </w:p>
        </w:tc>
        <w:tc>
          <w:tcPr>
            <w:tcW w:w="2126" w:type="dxa"/>
          </w:tcPr>
          <w:p w14:paraId="1C88B614" w14:textId="77777777" w:rsidR="008A3A28" w:rsidRPr="00C57832" w:rsidRDefault="008A3A28" w:rsidP="008A3A28">
            <w:pPr>
              <w:spacing w:after="0"/>
              <w:jc w:val="both"/>
              <w:rPr>
                <w:rFonts w:eastAsia="Times New Roman" w:cs="Helvetica"/>
                <w:sz w:val="22"/>
                <w:szCs w:val="22"/>
                <w:lang w:val="fr-BE" w:eastAsia="nl-NL"/>
              </w:rPr>
            </w:pPr>
          </w:p>
        </w:tc>
      </w:tr>
      <w:tr w:rsidR="008A3A28" w:rsidRPr="007174D8" w14:paraId="65E4A704" w14:textId="77777777" w:rsidTr="002E3E38">
        <w:tc>
          <w:tcPr>
            <w:tcW w:w="7196" w:type="dxa"/>
          </w:tcPr>
          <w:p w14:paraId="646B15C7" w14:textId="30F729AD" w:rsidR="008A3A28" w:rsidRPr="00C57832" w:rsidRDefault="008A3A28" w:rsidP="00C76C93">
            <w:pPr>
              <w:widowControl w:val="0"/>
              <w:spacing w:after="0" w:line="276" w:lineRule="auto"/>
              <w:rPr>
                <w:snapToGrid w:val="0"/>
                <w:szCs w:val="18"/>
                <w:lang w:val="fr-BE" w:eastAsia="en-US"/>
              </w:rPr>
            </w:pPr>
            <w:r w:rsidRPr="00C57832">
              <w:rPr>
                <w:snapToGrid w:val="0"/>
                <w:szCs w:val="18"/>
                <w:lang w:val="fr-BE" w:eastAsia="en-US"/>
              </w:rPr>
              <w:t>Description de la manière avec laquelle le soumissionnaire garantira</w:t>
            </w:r>
            <w:r w:rsidR="00467792" w:rsidRPr="00C57832">
              <w:rPr>
                <w:lang w:val="fr-BE"/>
              </w:rPr>
              <w:t xml:space="preserve"> et maintiendra pendant le transport et le transbordement éventuel</w:t>
            </w:r>
            <w:r w:rsidRPr="00C57832">
              <w:rPr>
                <w:snapToGrid w:val="0"/>
                <w:szCs w:val="18"/>
                <w:lang w:val="fr-BE" w:eastAsia="en-US"/>
              </w:rPr>
              <w:t xml:space="preserve"> la qualité de la fraction collectée</w:t>
            </w:r>
          </w:p>
        </w:tc>
        <w:tc>
          <w:tcPr>
            <w:tcW w:w="2126" w:type="dxa"/>
          </w:tcPr>
          <w:p w14:paraId="7B2F6FE5" w14:textId="77777777" w:rsidR="008A3A28" w:rsidRPr="00C57832" w:rsidRDefault="008A3A28" w:rsidP="008A3A28">
            <w:pPr>
              <w:spacing w:after="0"/>
              <w:jc w:val="both"/>
              <w:rPr>
                <w:rFonts w:eastAsia="Times New Roman" w:cs="Helvetica"/>
                <w:sz w:val="22"/>
                <w:szCs w:val="22"/>
                <w:lang w:val="fr-BE" w:eastAsia="nl-NL"/>
              </w:rPr>
            </w:pPr>
          </w:p>
        </w:tc>
      </w:tr>
      <w:tr w:rsidR="008A3A28" w:rsidRPr="007174D8" w14:paraId="2E95E59A" w14:textId="77777777" w:rsidTr="002E3E38">
        <w:tc>
          <w:tcPr>
            <w:tcW w:w="7196" w:type="dxa"/>
          </w:tcPr>
          <w:p w14:paraId="6D354028" w14:textId="77777777" w:rsidR="008A3A28" w:rsidRPr="00C57832" w:rsidRDefault="008A3A28" w:rsidP="00C76C93">
            <w:pPr>
              <w:widowControl w:val="0"/>
              <w:spacing w:after="0" w:line="276" w:lineRule="auto"/>
              <w:rPr>
                <w:snapToGrid w:val="0"/>
                <w:szCs w:val="18"/>
                <w:lang w:val="fr-BE" w:eastAsia="en-US"/>
              </w:rPr>
            </w:pPr>
            <w:r w:rsidRPr="00C57832">
              <w:rPr>
                <w:snapToGrid w:val="0"/>
                <w:szCs w:val="18"/>
                <w:lang w:val="fr-BE" w:eastAsia="en-US"/>
              </w:rPr>
              <w:t>Si une station de transfert est utilisée :</w:t>
            </w:r>
          </w:p>
          <w:p w14:paraId="2EEB1EF7" w14:textId="6AF3484F" w:rsidR="008A3A28" w:rsidRPr="00C57832" w:rsidRDefault="00AF6051" w:rsidP="00451860">
            <w:pPr>
              <w:pStyle w:val="Paragraphedeliste"/>
              <w:widowControl w:val="0"/>
              <w:numPr>
                <w:ilvl w:val="0"/>
                <w:numId w:val="4"/>
              </w:numPr>
              <w:spacing w:after="0" w:line="276" w:lineRule="auto"/>
              <w:rPr>
                <w:snapToGrid w:val="0"/>
                <w:szCs w:val="18"/>
                <w:lang w:val="fr-BE" w:eastAsia="en-US"/>
              </w:rPr>
            </w:pPr>
            <w:r w:rsidRPr="00C57832">
              <w:rPr>
                <w:snapToGrid w:val="0"/>
                <w:szCs w:val="18"/>
                <w:lang w:val="fr-BE" w:eastAsia="en-US"/>
              </w:rPr>
              <w:t>D</w:t>
            </w:r>
            <w:r w:rsidR="008A3A28" w:rsidRPr="00C57832">
              <w:rPr>
                <w:snapToGrid w:val="0"/>
                <w:szCs w:val="18"/>
                <w:lang w:val="fr-BE" w:eastAsia="en-US"/>
              </w:rPr>
              <w:t>escription des heures de livraison et d’enlèvement, au minimum entre 8 et 18 heures les jours ouvrables</w:t>
            </w:r>
            <w:r w:rsidR="00820587" w:rsidRPr="00C57832">
              <w:rPr>
                <w:rStyle w:val="Appelnotedebasdep"/>
                <w:snapToGrid w:val="0"/>
                <w:szCs w:val="18"/>
                <w:lang w:val="fr-BE" w:eastAsia="en-US"/>
              </w:rPr>
              <w:footnoteReference w:id="28"/>
            </w:r>
            <w:r w:rsidR="008A3A28" w:rsidRPr="00C57832">
              <w:rPr>
                <w:snapToGrid w:val="0"/>
                <w:szCs w:val="18"/>
                <w:lang w:val="fr-BE" w:eastAsia="en-US"/>
              </w:rPr>
              <w:t> ;</w:t>
            </w:r>
          </w:p>
          <w:p w14:paraId="0D0FBAE2" w14:textId="56D65D38" w:rsidR="008A3A28" w:rsidRPr="00C57832" w:rsidRDefault="00AF6051" w:rsidP="00451860">
            <w:pPr>
              <w:pStyle w:val="Paragraphedeliste"/>
              <w:widowControl w:val="0"/>
              <w:numPr>
                <w:ilvl w:val="0"/>
                <w:numId w:val="4"/>
              </w:numPr>
              <w:spacing w:after="0" w:line="276" w:lineRule="auto"/>
              <w:rPr>
                <w:snapToGrid w:val="0"/>
                <w:szCs w:val="18"/>
                <w:lang w:val="fr-BE" w:eastAsia="en-US"/>
              </w:rPr>
            </w:pPr>
            <w:r w:rsidRPr="00C57832">
              <w:rPr>
                <w:snapToGrid w:val="0"/>
                <w:szCs w:val="18"/>
                <w:lang w:val="fr-BE" w:eastAsia="en-US"/>
              </w:rPr>
              <w:t>D</w:t>
            </w:r>
            <w:r w:rsidR="008A3A28" w:rsidRPr="00C57832">
              <w:rPr>
                <w:snapToGrid w:val="0"/>
                <w:szCs w:val="18"/>
                <w:lang w:val="fr-BE" w:eastAsia="en-US"/>
              </w:rPr>
              <w:t xml:space="preserve">escription du système de contrôle de la qualité des flux </w:t>
            </w:r>
            <w:r w:rsidR="00205D2A" w:rsidRPr="00C57832">
              <w:rPr>
                <w:snapToGrid w:val="0"/>
                <w:szCs w:val="18"/>
                <w:lang w:val="fr-BE" w:eastAsia="en-US"/>
              </w:rPr>
              <w:t>entrants ;</w:t>
            </w:r>
          </w:p>
          <w:p w14:paraId="2F8118B7" w14:textId="73B4822C" w:rsidR="008A3A28" w:rsidRPr="00C57832" w:rsidRDefault="00AF6051" w:rsidP="00451860">
            <w:pPr>
              <w:pStyle w:val="Paragraphedeliste"/>
              <w:widowControl w:val="0"/>
              <w:numPr>
                <w:ilvl w:val="0"/>
                <w:numId w:val="4"/>
              </w:numPr>
              <w:spacing w:after="0" w:line="276" w:lineRule="auto"/>
              <w:rPr>
                <w:snapToGrid w:val="0"/>
                <w:szCs w:val="18"/>
                <w:lang w:val="fr-BE" w:eastAsia="en-US"/>
              </w:rPr>
            </w:pPr>
            <w:r w:rsidRPr="00C57832">
              <w:rPr>
                <w:snapToGrid w:val="0"/>
                <w:szCs w:val="18"/>
                <w:lang w:val="fr-BE" w:eastAsia="en-US"/>
              </w:rPr>
              <w:t>D</w:t>
            </w:r>
            <w:r w:rsidR="008A3A28" w:rsidRPr="00C57832">
              <w:rPr>
                <w:snapToGrid w:val="0"/>
                <w:szCs w:val="18"/>
                <w:lang w:val="fr-BE" w:eastAsia="en-US"/>
              </w:rPr>
              <w:t xml:space="preserve">escription détaillée de l’organisation logistique du </w:t>
            </w:r>
            <w:r w:rsidR="00205D2A" w:rsidRPr="00C57832">
              <w:rPr>
                <w:snapToGrid w:val="0"/>
                <w:szCs w:val="18"/>
                <w:lang w:val="fr-BE" w:eastAsia="en-US"/>
              </w:rPr>
              <w:t>site ;</w:t>
            </w:r>
          </w:p>
          <w:p w14:paraId="069DE932" w14:textId="61D043E3" w:rsidR="008A3A28" w:rsidRPr="00C57832" w:rsidRDefault="00AF6051" w:rsidP="00451860">
            <w:pPr>
              <w:pStyle w:val="Paragraphedeliste"/>
              <w:widowControl w:val="0"/>
              <w:numPr>
                <w:ilvl w:val="0"/>
                <w:numId w:val="4"/>
              </w:numPr>
              <w:spacing w:after="0" w:line="276" w:lineRule="auto"/>
              <w:rPr>
                <w:snapToGrid w:val="0"/>
                <w:szCs w:val="18"/>
                <w:lang w:val="fr-BE" w:eastAsia="en-US"/>
              </w:rPr>
            </w:pPr>
            <w:r w:rsidRPr="00C57832">
              <w:rPr>
                <w:snapToGrid w:val="0"/>
                <w:szCs w:val="18"/>
                <w:lang w:val="fr-BE" w:eastAsia="en-US"/>
              </w:rPr>
              <w:lastRenderedPageBreak/>
              <w:t>D</w:t>
            </w:r>
            <w:r w:rsidR="008A3A28" w:rsidRPr="00C57832">
              <w:rPr>
                <w:snapToGrid w:val="0"/>
                <w:szCs w:val="18"/>
                <w:lang w:val="fr-BE" w:eastAsia="en-US"/>
              </w:rPr>
              <w:t xml:space="preserve">escription des espaces de stockage ainsi que leur </w:t>
            </w:r>
            <w:proofErr w:type="gramStart"/>
            <w:r w:rsidR="008A3A28" w:rsidRPr="00C57832">
              <w:rPr>
                <w:snapToGrid w:val="0"/>
                <w:szCs w:val="18"/>
                <w:lang w:val="fr-BE" w:eastAsia="en-US"/>
              </w:rPr>
              <w:t>capacité;</w:t>
            </w:r>
            <w:proofErr w:type="gramEnd"/>
          </w:p>
          <w:p w14:paraId="7307C5EE" w14:textId="6BE1B731" w:rsidR="008A3A28" w:rsidRPr="00C57832" w:rsidRDefault="00AF6051" w:rsidP="00451860">
            <w:pPr>
              <w:pStyle w:val="Paragraphedeliste"/>
              <w:widowControl w:val="0"/>
              <w:numPr>
                <w:ilvl w:val="0"/>
                <w:numId w:val="4"/>
              </w:numPr>
              <w:spacing w:after="0" w:line="276" w:lineRule="auto"/>
              <w:rPr>
                <w:snapToGrid w:val="0"/>
                <w:szCs w:val="18"/>
                <w:lang w:val="fr-BE" w:eastAsia="en-US"/>
              </w:rPr>
            </w:pPr>
            <w:r w:rsidRPr="00C57832">
              <w:rPr>
                <w:snapToGrid w:val="0"/>
                <w:szCs w:val="18"/>
                <w:lang w:val="fr-BE" w:eastAsia="en-US"/>
              </w:rPr>
              <w:t>D</w:t>
            </w:r>
            <w:r w:rsidR="008A3A28" w:rsidRPr="00C57832">
              <w:rPr>
                <w:snapToGrid w:val="0"/>
                <w:szCs w:val="18"/>
                <w:lang w:val="fr-BE" w:eastAsia="en-US"/>
              </w:rPr>
              <w:t xml:space="preserve">escription de la manière de stocker chaque </w:t>
            </w:r>
            <w:proofErr w:type="gramStart"/>
            <w:r w:rsidR="008A3A28" w:rsidRPr="00C57832">
              <w:rPr>
                <w:snapToGrid w:val="0"/>
                <w:szCs w:val="18"/>
                <w:lang w:val="fr-BE" w:eastAsia="en-US"/>
              </w:rPr>
              <w:t>fraction;</w:t>
            </w:r>
            <w:proofErr w:type="gramEnd"/>
          </w:p>
          <w:p w14:paraId="0C412018" w14:textId="201D37D8" w:rsidR="008A3A28" w:rsidRPr="00C57832" w:rsidRDefault="00AF6051" w:rsidP="00451860">
            <w:pPr>
              <w:pStyle w:val="Paragraphedeliste"/>
              <w:widowControl w:val="0"/>
              <w:numPr>
                <w:ilvl w:val="0"/>
                <w:numId w:val="4"/>
              </w:numPr>
              <w:spacing w:after="0" w:line="276" w:lineRule="auto"/>
              <w:rPr>
                <w:snapToGrid w:val="0"/>
                <w:szCs w:val="18"/>
                <w:lang w:val="fr-BE" w:eastAsia="en-US"/>
              </w:rPr>
            </w:pPr>
            <w:r w:rsidRPr="00C57832">
              <w:rPr>
                <w:snapToGrid w:val="0"/>
                <w:szCs w:val="18"/>
                <w:lang w:val="fr-BE" w:eastAsia="en-US"/>
              </w:rPr>
              <w:t>D</w:t>
            </w:r>
            <w:r w:rsidR="008A3A28" w:rsidRPr="00C57832">
              <w:rPr>
                <w:snapToGrid w:val="0"/>
                <w:szCs w:val="18"/>
                <w:lang w:val="fr-BE" w:eastAsia="en-US"/>
              </w:rPr>
              <w:t>escription permettant de juger que la matière collectée est stockée sur un sol en dur et sous un espace couvert, séparément d’autres flux de déchets ;</w:t>
            </w:r>
          </w:p>
          <w:p w14:paraId="383CE73D" w14:textId="742B6178" w:rsidR="008A3A28" w:rsidRPr="00C57832" w:rsidRDefault="00AF6051" w:rsidP="00451860">
            <w:pPr>
              <w:pStyle w:val="Paragraphedeliste"/>
              <w:widowControl w:val="0"/>
              <w:numPr>
                <w:ilvl w:val="0"/>
                <w:numId w:val="4"/>
              </w:numPr>
              <w:spacing w:after="0" w:line="276" w:lineRule="auto"/>
              <w:rPr>
                <w:snapToGrid w:val="0"/>
                <w:szCs w:val="18"/>
                <w:lang w:val="fr-BE" w:eastAsia="en-US"/>
              </w:rPr>
            </w:pPr>
            <w:r w:rsidRPr="00C57832">
              <w:rPr>
                <w:snapToGrid w:val="0"/>
                <w:szCs w:val="18"/>
                <w:lang w:val="fr-BE" w:eastAsia="en-US"/>
              </w:rPr>
              <w:t>D</w:t>
            </w:r>
            <w:r w:rsidR="008A3A28" w:rsidRPr="00C57832">
              <w:rPr>
                <w:snapToGrid w:val="0"/>
                <w:szCs w:val="18"/>
                <w:lang w:val="fr-BE" w:eastAsia="en-US"/>
              </w:rPr>
              <w:t>escription du mode de calcul et suivi administratif des flux entrants, des flux sortants et des stocks ainsi que la gestion opérationnelle.</w:t>
            </w:r>
          </w:p>
        </w:tc>
        <w:tc>
          <w:tcPr>
            <w:tcW w:w="2126" w:type="dxa"/>
          </w:tcPr>
          <w:p w14:paraId="137FF2E5" w14:textId="77777777" w:rsidR="008A3A28" w:rsidRPr="00C57832" w:rsidRDefault="008A3A28" w:rsidP="008A3A28">
            <w:pPr>
              <w:spacing w:after="0"/>
              <w:jc w:val="both"/>
              <w:rPr>
                <w:rFonts w:eastAsia="Times New Roman" w:cs="Helvetica"/>
                <w:sz w:val="22"/>
                <w:szCs w:val="22"/>
                <w:lang w:val="fr-BE" w:eastAsia="nl-NL"/>
              </w:rPr>
            </w:pPr>
          </w:p>
        </w:tc>
      </w:tr>
      <w:tr w:rsidR="008A3A28" w:rsidRPr="00C57832" w14:paraId="0ABD3457" w14:textId="77777777" w:rsidTr="002E3E38">
        <w:tc>
          <w:tcPr>
            <w:tcW w:w="7196" w:type="dxa"/>
          </w:tcPr>
          <w:p w14:paraId="4DD2BAD3" w14:textId="77777777" w:rsidR="008A3A28" w:rsidRPr="00C57832" w:rsidRDefault="008A3A28" w:rsidP="00C76C93">
            <w:pPr>
              <w:widowControl w:val="0"/>
              <w:spacing w:after="0" w:line="276" w:lineRule="auto"/>
              <w:jc w:val="center"/>
              <w:rPr>
                <w:rFonts w:eastAsia="Times New Roman"/>
                <w:b/>
                <w:szCs w:val="18"/>
                <w:lang w:val="fr-BE" w:eastAsia="nl-NL"/>
              </w:rPr>
            </w:pPr>
            <w:r w:rsidRPr="00C57832">
              <w:rPr>
                <w:rFonts w:eastAsia="Times New Roman"/>
                <w:b/>
                <w:szCs w:val="18"/>
                <w:lang w:val="fr-BE" w:eastAsia="nl-NL"/>
              </w:rPr>
              <w:lastRenderedPageBreak/>
              <w:t>Autres documents</w:t>
            </w:r>
          </w:p>
        </w:tc>
        <w:tc>
          <w:tcPr>
            <w:tcW w:w="2126" w:type="dxa"/>
          </w:tcPr>
          <w:p w14:paraId="28561DAD" w14:textId="77777777" w:rsidR="008A3A28" w:rsidRPr="00C57832" w:rsidRDefault="008A3A28" w:rsidP="008A3A28">
            <w:pPr>
              <w:spacing w:after="0"/>
              <w:jc w:val="both"/>
              <w:rPr>
                <w:rFonts w:eastAsia="Times New Roman"/>
                <w:sz w:val="22"/>
                <w:szCs w:val="22"/>
                <w:lang w:val="fr-BE" w:eastAsia="nl-NL"/>
              </w:rPr>
            </w:pPr>
          </w:p>
        </w:tc>
      </w:tr>
      <w:tr w:rsidR="008A3A28" w:rsidRPr="007174D8" w14:paraId="2C62F008" w14:textId="77777777" w:rsidTr="002E3E38">
        <w:tc>
          <w:tcPr>
            <w:tcW w:w="7196" w:type="dxa"/>
          </w:tcPr>
          <w:p w14:paraId="178DB3D1" w14:textId="77777777" w:rsidR="008A3A28" w:rsidRPr="00C57832" w:rsidRDefault="008A3A28" w:rsidP="00C76C93">
            <w:pPr>
              <w:widowControl w:val="0"/>
              <w:spacing w:after="0" w:line="276" w:lineRule="auto"/>
              <w:rPr>
                <w:snapToGrid w:val="0"/>
                <w:szCs w:val="18"/>
                <w:lang w:val="fr-BE" w:eastAsia="en-US"/>
              </w:rPr>
            </w:pPr>
            <w:r w:rsidRPr="00C57832">
              <w:rPr>
                <w:snapToGrid w:val="0"/>
                <w:szCs w:val="18"/>
                <w:lang w:val="fr-BE" w:eastAsia="en-US"/>
              </w:rPr>
              <w:t xml:space="preserve">Copie des polices d’assurance nécessaires  </w:t>
            </w:r>
          </w:p>
        </w:tc>
        <w:tc>
          <w:tcPr>
            <w:tcW w:w="2126" w:type="dxa"/>
          </w:tcPr>
          <w:p w14:paraId="323813F8" w14:textId="77777777" w:rsidR="008A3A28" w:rsidRPr="00C57832" w:rsidRDefault="008A3A28" w:rsidP="008A3A28">
            <w:pPr>
              <w:spacing w:after="0" w:line="240" w:lineRule="auto"/>
              <w:jc w:val="both"/>
              <w:rPr>
                <w:rFonts w:eastAsia="Times New Roman"/>
                <w:snapToGrid w:val="0"/>
                <w:sz w:val="22"/>
                <w:szCs w:val="22"/>
                <w:lang w:val="fr-BE" w:eastAsia="nl-NL"/>
              </w:rPr>
            </w:pPr>
          </w:p>
        </w:tc>
      </w:tr>
      <w:tr w:rsidR="008A3A28" w:rsidRPr="007174D8" w14:paraId="32E8D80F" w14:textId="77777777" w:rsidTr="002E3E38">
        <w:tc>
          <w:tcPr>
            <w:tcW w:w="7196" w:type="dxa"/>
          </w:tcPr>
          <w:p w14:paraId="6A9F1BB3" w14:textId="77777777" w:rsidR="008A3A28" w:rsidRPr="00C57832" w:rsidRDefault="008A3A28" w:rsidP="00C76C93">
            <w:pPr>
              <w:widowControl w:val="0"/>
              <w:spacing w:after="0" w:line="276" w:lineRule="auto"/>
              <w:rPr>
                <w:snapToGrid w:val="0"/>
                <w:szCs w:val="18"/>
                <w:lang w:val="fr-BE" w:eastAsia="en-US"/>
              </w:rPr>
            </w:pPr>
            <w:r w:rsidRPr="00C57832">
              <w:rPr>
                <w:snapToGrid w:val="0"/>
                <w:szCs w:val="18"/>
                <w:lang w:val="fr-BE" w:eastAsia="en-US"/>
              </w:rPr>
              <w:t>Documents nécessaires en cas de transport transfrontalier</w:t>
            </w:r>
          </w:p>
        </w:tc>
        <w:tc>
          <w:tcPr>
            <w:tcW w:w="2126" w:type="dxa"/>
          </w:tcPr>
          <w:p w14:paraId="74F69617" w14:textId="77777777" w:rsidR="008A3A28" w:rsidRPr="00C57832" w:rsidRDefault="008A3A28" w:rsidP="008A3A28">
            <w:pPr>
              <w:spacing w:after="0" w:line="240" w:lineRule="auto"/>
              <w:jc w:val="both"/>
              <w:rPr>
                <w:rFonts w:eastAsia="Times New Roman"/>
                <w:snapToGrid w:val="0"/>
                <w:sz w:val="22"/>
                <w:szCs w:val="22"/>
                <w:lang w:val="fr-BE" w:eastAsia="nl-NL"/>
              </w:rPr>
            </w:pPr>
          </w:p>
        </w:tc>
      </w:tr>
    </w:tbl>
    <w:p w14:paraId="29B579EA" w14:textId="77777777" w:rsidR="00A2758F" w:rsidRPr="00C57832" w:rsidRDefault="00A2758F" w:rsidP="00A2758F">
      <w:pPr>
        <w:spacing w:after="0"/>
        <w:ind w:left="199" w:hanging="199"/>
        <w:rPr>
          <w:rFonts w:eastAsia="Times New Roman"/>
          <w:sz w:val="22"/>
          <w:szCs w:val="22"/>
          <w:lang w:val="fr-BE" w:eastAsia="nl-NL"/>
        </w:rPr>
      </w:pPr>
    </w:p>
    <w:p w14:paraId="3212BDE8" w14:textId="77777777" w:rsidR="00A2758F" w:rsidRPr="00C57832" w:rsidRDefault="00A2758F" w:rsidP="00A2758F">
      <w:pPr>
        <w:spacing w:after="0"/>
        <w:rPr>
          <w:rFonts w:eastAsia="Times New Roman"/>
          <w:sz w:val="22"/>
          <w:szCs w:val="22"/>
          <w:lang w:val="fr-BE" w:eastAsia="nl-NL"/>
        </w:rPr>
      </w:pPr>
    </w:p>
    <w:p w14:paraId="140C3417" w14:textId="77777777" w:rsidR="00A2758F" w:rsidRPr="00C57832" w:rsidRDefault="00A2758F" w:rsidP="00A2758F">
      <w:pPr>
        <w:spacing w:after="0" w:line="276" w:lineRule="auto"/>
        <w:rPr>
          <w:rFonts w:eastAsia="Times New Roman" w:cs="Helvetica"/>
          <w:snapToGrid w:val="0"/>
          <w:sz w:val="22"/>
          <w:szCs w:val="22"/>
          <w:lang w:val="fr-BE" w:eastAsia="nl-NL"/>
        </w:rPr>
      </w:pPr>
    </w:p>
    <w:p w14:paraId="397C809A" w14:textId="77777777" w:rsidR="0064271A" w:rsidRPr="00C57832" w:rsidRDefault="0064271A" w:rsidP="0064271A">
      <w:pPr>
        <w:rPr>
          <w:lang w:val="fr-BE" w:eastAsia="nl-NL"/>
        </w:rPr>
      </w:pPr>
    </w:p>
    <w:p w14:paraId="624F27A7" w14:textId="77777777" w:rsidR="00111004" w:rsidRPr="00C57832" w:rsidRDefault="00111004" w:rsidP="00111004">
      <w:pPr>
        <w:pStyle w:val="Titre1"/>
        <w:shd w:val="pct20" w:color="auto" w:fill="auto"/>
        <w:spacing w:before="0" w:line="240" w:lineRule="auto"/>
        <w:rPr>
          <w:rFonts w:eastAsia="Times New Roman"/>
          <w:sz w:val="22"/>
          <w:szCs w:val="22"/>
          <w:lang w:val="fr-BE" w:eastAsia="nl-NL"/>
        </w:rPr>
      </w:pPr>
      <w:r w:rsidRPr="00C57832">
        <w:rPr>
          <w:rFonts w:eastAsia="Times New Roman"/>
          <w:sz w:val="22"/>
          <w:szCs w:val="22"/>
          <w:lang w:val="fr-BE" w:eastAsia="nl-NL"/>
        </w:rPr>
        <w:br w:type="page"/>
      </w:r>
    </w:p>
    <w:p w14:paraId="1D82565A" w14:textId="2CE71BAF" w:rsidR="00B56BDA" w:rsidRPr="00C57832" w:rsidRDefault="00B56BDA" w:rsidP="00B56BDA">
      <w:pPr>
        <w:pStyle w:val="Titre2"/>
        <w:rPr>
          <w:lang w:val="fr-BE"/>
        </w:rPr>
      </w:pPr>
      <w:bookmarkStart w:id="225" w:name="_Toc513197790"/>
      <w:r w:rsidRPr="00C57832">
        <w:rPr>
          <w:lang w:val="fr-BE"/>
        </w:rPr>
        <w:lastRenderedPageBreak/>
        <w:t xml:space="preserve">Annexe H : Document </w:t>
      </w:r>
      <w:r w:rsidR="008A3800" w:rsidRPr="00C57832">
        <w:rPr>
          <w:lang w:val="fr-BE"/>
        </w:rPr>
        <w:t>U</w:t>
      </w:r>
      <w:r w:rsidRPr="00C57832">
        <w:rPr>
          <w:lang w:val="fr-BE"/>
        </w:rPr>
        <w:t xml:space="preserve">nique de </w:t>
      </w:r>
      <w:r w:rsidR="008A3800" w:rsidRPr="00C57832">
        <w:rPr>
          <w:lang w:val="fr-BE"/>
        </w:rPr>
        <w:t>M</w:t>
      </w:r>
      <w:r w:rsidRPr="00C57832">
        <w:rPr>
          <w:lang w:val="fr-BE"/>
        </w:rPr>
        <w:t xml:space="preserve">arché </w:t>
      </w:r>
      <w:r w:rsidR="008A3800" w:rsidRPr="00C57832">
        <w:rPr>
          <w:lang w:val="fr-BE"/>
        </w:rPr>
        <w:t>E</w:t>
      </w:r>
      <w:r w:rsidRPr="00C57832">
        <w:rPr>
          <w:lang w:val="fr-BE"/>
        </w:rPr>
        <w:t>uropéen (art. 73 de la loi sur les marchés publics)</w:t>
      </w:r>
      <w:bookmarkEnd w:id="225"/>
      <w:r w:rsidRPr="00C57832">
        <w:rPr>
          <w:lang w:val="fr-BE"/>
        </w:rPr>
        <w:t xml:space="preserve"> </w:t>
      </w:r>
    </w:p>
    <w:p w14:paraId="6832178B" w14:textId="77777777" w:rsidR="007C170E" w:rsidRPr="00C57832" w:rsidRDefault="007C170E" w:rsidP="00C76C93">
      <w:pPr>
        <w:rPr>
          <w:lang w:val="fr-BE"/>
        </w:rPr>
      </w:pPr>
    </w:p>
    <w:p w14:paraId="2C378601" w14:textId="77777777" w:rsidR="00B56BDA" w:rsidRPr="00C57832" w:rsidRDefault="00B56BDA" w:rsidP="00C76C93">
      <w:pPr>
        <w:rPr>
          <w:lang w:val="fr-BE" w:eastAsia="nl-NL"/>
        </w:rPr>
      </w:pPr>
      <w:r w:rsidRPr="00C57832">
        <w:rPr>
          <w:lang w:val="fr-BE" w:eastAsia="nl-NL"/>
        </w:rPr>
        <w:t xml:space="preserve">Ce document est à modifier et à télécharger sur le site web des services de la Commission européenne : </w:t>
      </w:r>
      <w:hyperlink r:id="rId19" w:history="1">
        <w:r w:rsidRPr="00C57832">
          <w:rPr>
            <w:lang w:val="fr-BE" w:eastAsia="nl-NL"/>
          </w:rPr>
          <w:t>https://ec.europa.eu/tools/espd/welcome</w:t>
        </w:r>
      </w:hyperlink>
    </w:p>
    <w:p w14:paraId="30CC5628" w14:textId="77777777" w:rsidR="007F39E4" w:rsidRPr="00C57832" w:rsidRDefault="007F39E4">
      <w:pPr>
        <w:spacing w:after="0" w:line="240" w:lineRule="auto"/>
        <w:rPr>
          <w:rFonts w:cs="Arial"/>
          <w:bCs/>
          <w:iCs/>
          <w:sz w:val="24"/>
          <w:szCs w:val="28"/>
          <w:lang w:val="fr-BE"/>
        </w:rPr>
      </w:pPr>
      <w:bookmarkStart w:id="226" w:name="_Toc513197791"/>
      <w:r w:rsidRPr="00C57832">
        <w:rPr>
          <w:lang w:val="fr-BE"/>
        </w:rPr>
        <w:br w:type="page"/>
      </w:r>
    </w:p>
    <w:p w14:paraId="2BB05A48" w14:textId="7EE4F65D" w:rsidR="00AC5DB8" w:rsidRPr="00C57832" w:rsidRDefault="00AC5DB8" w:rsidP="00CF4317">
      <w:pPr>
        <w:pStyle w:val="Titre2"/>
        <w:rPr>
          <w:lang w:val="fr-BE"/>
        </w:rPr>
      </w:pPr>
      <w:r w:rsidRPr="00C57832">
        <w:rPr>
          <w:lang w:val="fr-BE"/>
        </w:rPr>
        <w:lastRenderedPageBreak/>
        <w:t>A</w:t>
      </w:r>
      <w:r w:rsidR="00F072AF" w:rsidRPr="00C57832">
        <w:rPr>
          <w:lang w:val="fr-BE"/>
        </w:rPr>
        <w:t>nnexe</w:t>
      </w:r>
      <w:r w:rsidRPr="00C57832">
        <w:rPr>
          <w:lang w:val="fr-BE"/>
        </w:rPr>
        <w:t xml:space="preserve"> </w:t>
      </w:r>
      <w:r w:rsidR="00B56BDA" w:rsidRPr="00C57832">
        <w:rPr>
          <w:lang w:val="fr-BE"/>
        </w:rPr>
        <w:t>I</w:t>
      </w:r>
      <w:r w:rsidR="00A610BF" w:rsidRPr="00C57832">
        <w:rPr>
          <w:lang w:val="fr-BE"/>
        </w:rPr>
        <w:t xml:space="preserve"> : </w:t>
      </w:r>
      <w:r w:rsidRPr="00C57832">
        <w:rPr>
          <w:lang w:val="fr-BE"/>
        </w:rPr>
        <w:t>M</w:t>
      </w:r>
      <w:r w:rsidR="000B235C" w:rsidRPr="00C57832">
        <w:rPr>
          <w:lang w:val="fr-BE"/>
        </w:rPr>
        <w:t>odèle de déclaration bancaire</w:t>
      </w:r>
      <w:bookmarkEnd w:id="226"/>
    </w:p>
    <w:p w14:paraId="278456E5" w14:textId="77777777" w:rsidR="00AC5DB8" w:rsidRPr="00C57832" w:rsidRDefault="00AC5DB8" w:rsidP="00AC5DB8">
      <w:pPr>
        <w:spacing w:after="0"/>
        <w:jc w:val="both"/>
        <w:rPr>
          <w:rFonts w:eastAsia="Times New Roman"/>
          <w:sz w:val="22"/>
          <w:szCs w:val="22"/>
          <w:lang w:val="fr-BE" w:eastAsia="nl-NL"/>
        </w:rPr>
      </w:pPr>
    </w:p>
    <w:p w14:paraId="1B0667C2" w14:textId="77777777" w:rsidR="00AC5DB8" w:rsidRPr="00C57832" w:rsidRDefault="00AC5DB8" w:rsidP="00AC5DB8">
      <w:pPr>
        <w:spacing w:after="0"/>
        <w:jc w:val="both"/>
        <w:rPr>
          <w:rFonts w:eastAsia="Times New Roman"/>
          <w:sz w:val="22"/>
          <w:szCs w:val="22"/>
          <w:lang w:val="fr-BE" w:eastAsia="nl-NL"/>
        </w:rPr>
      </w:pPr>
    </w:p>
    <w:p w14:paraId="5FC74BC6" w14:textId="77777777" w:rsidR="00AC5DB8" w:rsidRPr="00C57832" w:rsidRDefault="00AC5DB8" w:rsidP="00AC5DB8">
      <w:pPr>
        <w:spacing w:after="0"/>
        <w:jc w:val="both"/>
        <w:rPr>
          <w:rFonts w:eastAsia="Times New Roman"/>
          <w:szCs w:val="18"/>
          <w:lang w:val="fr-BE" w:eastAsia="nl-NL"/>
        </w:rPr>
      </w:pPr>
      <w:r w:rsidRPr="00C57832">
        <w:rPr>
          <w:rFonts w:eastAsia="Times New Roman"/>
          <w:szCs w:val="18"/>
          <w:lang w:val="fr-BE" w:eastAsia="nl-NL"/>
        </w:rPr>
        <w:t>Cette déclaration concerne le marché suivant (ci-après le “Marché”</w:t>
      </w:r>
      <w:proofErr w:type="gramStart"/>
      <w:r w:rsidRPr="00C57832">
        <w:rPr>
          <w:rFonts w:eastAsia="Times New Roman"/>
          <w:szCs w:val="18"/>
          <w:lang w:val="fr-BE" w:eastAsia="nl-NL"/>
        </w:rPr>
        <w:t>):</w:t>
      </w:r>
      <w:proofErr w:type="gramEnd"/>
      <w:r w:rsidRPr="00C57832">
        <w:rPr>
          <w:rFonts w:eastAsia="Times New Roman"/>
          <w:szCs w:val="18"/>
          <w:lang w:val="fr-BE" w:eastAsia="nl-NL"/>
        </w:rPr>
        <w:t xml:space="preserve"> (description et numéro de cahier des charges à ajouter)</w:t>
      </w:r>
    </w:p>
    <w:p w14:paraId="7BB2E403" w14:textId="77777777" w:rsidR="00AC5DB8" w:rsidRPr="00C57832" w:rsidRDefault="00AC5DB8" w:rsidP="00AC5DB8">
      <w:pPr>
        <w:spacing w:after="0"/>
        <w:jc w:val="both"/>
        <w:rPr>
          <w:rFonts w:eastAsia="Times New Roman"/>
          <w:szCs w:val="18"/>
          <w:lang w:val="fr-BE" w:eastAsia="nl-NL"/>
        </w:rPr>
      </w:pPr>
      <w:r w:rsidRPr="00C57832">
        <w:rPr>
          <w:rFonts w:eastAsia="Times New Roman"/>
          <w:szCs w:val="18"/>
          <w:lang w:val="fr-BE" w:eastAsia="nl-NL"/>
        </w:rPr>
        <w:t>_____________________________________________________________________________________________________________________________________________________________________________________________________________________________________________</w:t>
      </w:r>
    </w:p>
    <w:p w14:paraId="18E23550" w14:textId="77777777" w:rsidR="00AC5DB8" w:rsidRPr="00C57832" w:rsidRDefault="00AC5DB8" w:rsidP="00AC5DB8">
      <w:pPr>
        <w:spacing w:after="0"/>
        <w:jc w:val="both"/>
        <w:rPr>
          <w:rFonts w:eastAsia="Times New Roman"/>
          <w:szCs w:val="18"/>
          <w:lang w:val="fr-BE" w:eastAsia="nl-NL"/>
        </w:rPr>
      </w:pPr>
    </w:p>
    <w:p w14:paraId="3923F908" w14:textId="77777777" w:rsidR="00AC5DB8" w:rsidRPr="00C57832" w:rsidRDefault="00AC5DB8" w:rsidP="00AC5DB8">
      <w:pPr>
        <w:spacing w:after="0"/>
        <w:jc w:val="both"/>
        <w:rPr>
          <w:rFonts w:eastAsia="Times New Roman"/>
          <w:szCs w:val="18"/>
          <w:lang w:val="fr-BE" w:eastAsia="nl-NL"/>
        </w:rPr>
      </w:pPr>
    </w:p>
    <w:p w14:paraId="34157FE0" w14:textId="77777777" w:rsidR="00AC5DB8" w:rsidRPr="00C57832" w:rsidRDefault="00AC5DB8" w:rsidP="00AC5DB8">
      <w:pPr>
        <w:spacing w:after="0"/>
        <w:jc w:val="both"/>
        <w:rPr>
          <w:rFonts w:eastAsia="Times New Roman"/>
          <w:szCs w:val="18"/>
          <w:lang w:val="fr-BE" w:eastAsia="nl-NL"/>
        </w:rPr>
      </w:pPr>
      <w:r w:rsidRPr="00C57832">
        <w:rPr>
          <w:rFonts w:eastAsia="Times New Roman"/>
          <w:szCs w:val="18"/>
          <w:lang w:val="fr-BE" w:eastAsia="nl-NL"/>
        </w:rPr>
        <w:t>Nous confirmons par la présente que__________________________________________________</w:t>
      </w:r>
    </w:p>
    <w:p w14:paraId="37D7714B" w14:textId="77777777" w:rsidR="00AC5DB8" w:rsidRPr="00C57832" w:rsidRDefault="00AC5DB8" w:rsidP="00AC5DB8">
      <w:pPr>
        <w:spacing w:after="0"/>
        <w:jc w:val="both"/>
        <w:rPr>
          <w:rFonts w:eastAsia="Times New Roman"/>
          <w:szCs w:val="18"/>
          <w:lang w:val="fr-BE" w:eastAsia="nl-NL"/>
        </w:rPr>
      </w:pPr>
      <w:r w:rsidRPr="00C57832">
        <w:rPr>
          <w:rFonts w:eastAsia="Times New Roman"/>
          <w:szCs w:val="18"/>
          <w:lang w:val="fr-BE" w:eastAsia="nl-NL"/>
        </w:rPr>
        <w:t>____________________________________________________________________________________________________________________________________________________________________ (dénomination commerciale et siège social à ajouter) est notre client.</w:t>
      </w:r>
    </w:p>
    <w:p w14:paraId="5F221792" w14:textId="77777777" w:rsidR="00AC5DB8" w:rsidRPr="00C57832" w:rsidRDefault="00AC5DB8" w:rsidP="00AC5DB8">
      <w:pPr>
        <w:spacing w:after="0"/>
        <w:jc w:val="both"/>
        <w:rPr>
          <w:rFonts w:eastAsia="Times New Roman"/>
          <w:szCs w:val="18"/>
          <w:lang w:val="fr-BE" w:eastAsia="nl-NL"/>
        </w:rPr>
      </w:pPr>
    </w:p>
    <w:p w14:paraId="39EF2743" w14:textId="77777777" w:rsidR="00AC5DB8" w:rsidRPr="00C57832" w:rsidRDefault="00AC5DB8" w:rsidP="00AC5DB8">
      <w:pPr>
        <w:spacing w:after="0"/>
        <w:jc w:val="both"/>
        <w:rPr>
          <w:rFonts w:eastAsia="Times New Roman"/>
          <w:szCs w:val="18"/>
          <w:lang w:val="fr-BE" w:eastAsia="nl-NL"/>
        </w:rPr>
      </w:pPr>
    </w:p>
    <w:p w14:paraId="26C20C69" w14:textId="77777777" w:rsidR="00AC5DB8" w:rsidRPr="00C57832" w:rsidRDefault="00AC5DB8" w:rsidP="00AC5DB8">
      <w:pPr>
        <w:autoSpaceDE w:val="0"/>
        <w:autoSpaceDN w:val="0"/>
        <w:adjustRightInd w:val="0"/>
        <w:spacing w:after="0" w:line="240" w:lineRule="auto"/>
        <w:rPr>
          <w:rFonts w:cs="Calibri"/>
          <w:szCs w:val="18"/>
          <w:lang w:val="fr-BE" w:eastAsia="fr-BE"/>
        </w:rPr>
      </w:pPr>
      <w:r w:rsidRPr="00C57832">
        <w:rPr>
          <w:rFonts w:cs="Calibri"/>
          <w:szCs w:val="18"/>
          <w:lang w:val="fr-BE" w:eastAsia="fr-BE"/>
        </w:rPr>
        <w:t xml:space="preserve">Les relations financières que nous entretenons avec ce client nous ont jusqu’à présent donné   entière satisfaction et nous n’avons pu constater aucun élément négatif méritant d’être relevé. </w:t>
      </w:r>
    </w:p>
    <w:p w14:paraId="7D62CE2A" w14:textId="77777777" w:rsidR="00AC5DB8" w:rsidRPr="00C57832" w:rsidRDefault="00AC5DB8" w:rsidP="00AC5DB8">
      <w:pPr>
        <w:autoSpaceDE w:val="0"/>
        <w:autoSpaceDN w:val="0"/>
        <w:adjustRightInd w:val="0"/>
        <w:spacing w:after="0" w:line="240" w:lineRule="auto"/>
        <w:rPr>
          <w:rFonts w:cs="Calibri"/>
          <w:szCs w:val="18"/>
          <w:lang w:val="fr-BE" w:eastAsia="fr-BE"/>
        </w:rPr>
      </w:pPr>
      <w:r w:rsidRPr="00C57832">
        <w:rPr>
          <w:rFonts w:cs="Calibri"/>
          <w:szCs w:val="18"/>
          <w:lang w:val="fr-BE" w:eastAsia="fr-BE"/>
        </w:rPr>
        <w:t>Il jouit jusqu’à présent de notre entière confiance.</w:t>
      </w:r>
    </w:p>
    <w:p w14:paraId="528C2009" w14:textId="77777777" w:rsidR="00AC5DB8" w:rsidRPr="00C57832" w:rsidRDefault="00AC5DB8" w:rsidP="00AC5DB8">
      <w:pPr>
        <w:autoSpaceDE w:val="0"/>
        <w:autoSpaceDN w:val="0"/>
        <w:adjustRightInd w:val="0"/>
        <w:spacing w:after="0" w:line="240" w:lineRule="auto"/>
        <w:rPr>
          <w:rFonts w:cs="Calibri"/>
          <w:szCs w:val="18"/>
          <w:lang w:val="fr-BE" w:eastAsia="fr-BE"/>
        </w:rPr>
      </w:pPr>
    </w:p>
    <w:p w14:paraId="64B5DFFF" w14:textId="532E72E9" w:rsidR="00AC5DB8" w:rsidRPr="00C57832" w:rsidRDefault="00AC5DB8" w:rsidP="00AC5DB8">
      <w:pPr>
        <w:autoSpaceDE w:val="0"/>
        <w:autoSpaceDN w:val="0"/>
        <w:adjustRightInd w:val="0"/>
        <w:spacing w:after="0" w:line="240" w:lineRule="auto"/>
        <w:rPr>
          <w:rFonts w:cs="Calibri"/>
          <w:szCs w:val="18"/>
          <w:lang w:val="fr-BE" w:eastAsia="fr-BE"/>
        </w:rPr>
      </w:pPr>
      <w:r w:rsidRPr="00C57832">
        <w:rPr>
          <w:rFonts w:cs="Calibri"/>
          <w:szCs w:val="18"/>
          <w:lang w:val="fr-BE" w:eastAsia="fr-BE"/>
        </w:rPr>
        <w:t>Sur base des données dont notre banque dispose actuellement et sans préjuger du futur, ce client dispose actuellement de la capacité financière et économique lui permettant de mener à bien le marché public mentionné ci-dessus.</w:t>
      </w:r>
    </w:p>
    <w:p w14:paraId="305F149A" w14:textId="77777777" w:rsidR="00AC5DB8" w:rsidRPr="00C57832" w:rsidRDefault="00AC5DB8" w:rsidP="00AC5DB8">
      <w:pPr>
        <w:autoSpaceDE w:val="0"/>
        <w:autoSpaceDN w:val="0"/>
        <w:adjustRightInd w:val="0"/>
        <w:spacing w:after="0" w:line="240" w:lineRule="auto"/>
        <w:rPr>
          <w:rFonts w:cs="Calibri"/>
          <w:szCs w:val="18"/>
          <w:lang w:val="fr-BE" w:eastAsia="fr-BE"/>
        </w:rPr>
      </w:pPr>
    </w:p>
    <w:p w14:paraId="4AA61F0D" w14:textId="77777777" w:rsidR="00AC5DB8" w:rsidRPr="00C57832" w:rsidRDefault="00AC5DB8" w:rsidP="00AC5DB8">
      <w:pPr>
        <w:autoSpaceDE w:val="0"/>
        <w:autoSpaceDN w:val="0"/>
        <w:adjustRightInd w:val="0"/>
        <w:spacing w:after="0" w:line="240" w:lineRule="auto"/>
        <w:rPr>
          <w:rFonts w:cs="Calibri"/>
          <w:szCs w:val="18"/>
          <w:lang w:val="fr-BE" w:eastAsia="fr-BE"/>
        </w:rPr>
      </w:pPr>
      <w:r w:rsidRPr="00C57832">
        <w:rPr>
          <w:rFonts w:cs="Calibri"/>
          <w:szCs w:val="18"/>
          <w:lang w:val="fr-BE" w:eastAsia="fr-BE"/>
        </w:rPr>
        <w:t>Notre banque délivre ce document sans restriction ni réserve de notre part autres que celles mentionnées ci-dessus.</w:t>
      </w:r>
    </w:p>
    <w:p w14:paraId="62021E05" w14:textId="77777777" w:rsidR="00AC5DB8" w:rsidRPr="00C57832" w:rsidRDefault="00AC5DB8" w:rsidP="00AC5DB8">
      <w:pPr>
        <w:spacing w:after="0"/>
        <w:jc w:val="both"/>
        <w:rPr>
          <w:rFonts w:eastAsia="Times New Roman"/>
          <w:szCs w:val="18"/>
          <w:lang w:val="fr-BE" w:eastAsia="nl-NL"/>
        </w:rPr>
      </w:pPr>
    </w:p>
    <w:p w14:paraId="0646A007" w14:textId="77777777" w:rsidR="00AC5DB8" w:rsidRPr="00C57832" w:rsidRDefault="00AC5DB8" w:rsidP="00AC5DB8">
      <w:pPr>
        <w:spacing w:after="0"/>
        <w:jc w:val="both"/>
        <w:rPr>
          <w:rFonts w:eastAsia="Times New Roman"/>
          <w:szCs w:val="18"/>
          <w:lang w:val="fr-BE" w:eastAsia="nl-NL"/>
        </w:rPr>
      </w:pPr>
      <w:r w:rsidRPr="00C57832">
        <w:rPr>
          <w:rFonts w:eastAsia="Times New Roman"/>
          <w:szCs w:val="18"/>
          <w:lang w:val="fr-BE" w:eastAsia="nl-NL"/>
        </w:rPr>
        <w:t>Fait à _______________________, le ________________________</w:t>
      </w:r>
    </w:p>
    <w:p w14:paraId="5E75E9D5" w14:textId="77777777" w:rsidR="00AC5DB8" w:rsidRPr="00C57832" w:rsidRDefault="00AC5DB8" w:rsidP="00AC5DB8">
      <w:pPr>
        <w:spacing w:after="0"/>
        <w:jc w:val="both"/>
        <w:rPr>
          <w:rFonts w:eastAsia="Times New Roman"/>
          <w:szCs w:val="18"/>
          <w:lang w:val="fr-BE" w:eastAsia="nl-NL"/>
        </w:rPr>
      </w:pPr>
    </w:p>
    <w:p w14:paraId="6C98808B" w14:textId="77777777" w:rsidR="00AC5DB8" w:rsidRPr="00C57832" w:rsidRDefault="00AC5DB8" w:rsidP="00AC5DB8">
      <w:pPr>
        <w:spacing w:after="0"/>
        <w:jc w:val="both"/>
        <w:rPr>
          <w:rFonts w:eastAsia="Times New Roman"/>
          <w:szCs w:val="18"/>
          <w:lang w:val="fr-BE" w:eastAsia="nl-NL"/>
        </w:rPr>
      </w:pPr>
    </w:p>
    <w:p w14:paraId="3188517A" w14:textId="77777777" w:rsidR="00AC5DB8" w:rsidRPr="00C57832" w:rsidRDefault="00AC5DB8" w:rsidP="00AC5DB8">
      <w:pPr>
        <w:spacing w:after="0"/>
        <w:jc w:val="both"/>
        <w:rPr>
          <w:rFonts w:eastAsia="Times New Roman"/>
          <w:szCs w:val="18"/>
          <w:lang w:val="fr-BE" w:eastAsia="nl-NL"/>
        </w:rPr>
      </w:pPr>
    </w:p>
    <w:p w14:paraId="55AA8E42" w14:textId="77777777" w:rsidR="00AC5DB8" w:rsidRPr="00C57832" w:rsidRDefault="00AC5DB8" w:rsidP="00AC5DB8">
      <w:pPr>
        <w:spacing w:after="0"/>
        <w:jc w:val="both"/>
        <w:rPr>
          <w:rFonts w:eastAsia="Times New Roman"/>
          <w:szCs w:val="18"/>
          <w:lang w:val="fr-BE" w:eastAsia="nl-NL"/>
        </w:rPr>
      </w:pPr>
    </w:p>
    <w:p w14:paraId="65205165" w14:textId="77777777" w:rsidR="00AC5DB8" w:rsidRPr="00C57832" w:rsidRDefault="00AC5DB8" w:rsidP="00AC5DB8">
      <w:pPr>
        <w:spacing w:after="0"/>
        <w:jc w:val="both"/>
        <w:rPr>
          <w:rFonts w:eastAsia="Times New Roman"/>
          <w:szCs w:val="18"/>
          <w:lang w:val="fr-BE" w:eastAsia="nl-NL"/>
        </w:rPr>
      </w:pPr>
    </w:p>
    <w:p w14:paraId="23DF77B2" w14:textId="77777777" w:rsidR="00AC5DB8" w:rsidRPr="00C57832" w:rsidRDefault="00AC5DB8" w:rsidP="00AC5DB8">
      <w:pPr>
        <w:spacing w:after="0"/>
        <w:jc w:val="both"/>
        <w:rPr>
          <w:rFonts w:eastAsia="Times New Roman"/>
          <w:szCs w:val="18"/>
          <w:lang w:val="fr-BE" w:eastAsia="nl-NL"/>
        </w:rPr>
      </w:pPr>
      <w:proofErr w:type="gramStart"/>
      <w:r w:rsidRPr="00C57832">
        <w:rPr>
          <w:rFonts w:eastAsia="Times New Roman"/>
          <w:szCs w:val="18"/>
          <w:lang w:val="fr-BE" w:eastAsia="nl-NL"/>
        </w:rPr>
        <w:t>Signature:</w:t>
      </w:r>
      <w:proofErr w:type="gramEnd"/>
      <w:r w:rsidRPr="00C57832">
        <w:rPr>
          <w:rFonts w:eastAsia="Times New Roman"/>
          <w:szCs w:val="18"/>
          <w:lang w:val="fr-BE" w:eastAsia="nl-NL"/>
        </w:rPr>
        <w:t xml:space="preserve"> ___________________________________________________</w:t>
      </w:r>
    </w:p>
    <w:p w14:paraId="6B613918" w14:textId="77777777" w:rsidR="002B0941" w:rsidRPr="00C57832" w:rsidRDefault="002B0941" w:rsidP="002B0941">
      <w:pPr>
        <w:spacing w:after="0"/>
        <w:jc w:val="both"/>
        <w:rPr>
          <w:rFonts w:eastAsia="Times New Roman"/>
          <w:szCs w:val="18"/>
          <w:lang w:val="fr-BE" w:eastAsia="nl-NL"/>
        </w:rPr>
      </w:pPr>
    </w:p>
    <w:p w14:paraId="0BD831D4" w14:textId="77777777" w:rsidR="002B0941" w:rsidRPr="00C57832" w:rsidRDefault="002B0941" w:rsidP="002B0941">
      <w:pPr>
        <w:spacing w:after="0"/>
        <w:jc w:val="both"/>
        <w:rPr>
          <w:rFonts w:eastAsia="Times New Roman"/>
          <w:szCs w:val="18"/>
          <w:lang w:val="fr-BE" w:eastAsia="nl-NL"/>
        </w:rPr>
      </w:pPr>
      <w:r w:rsidRPr="00C57832">
        <w:rPr>
          <w:rFonts w:eastAsia="Times New Roman"/>
          <w:szCs w:val="18"/>
          <w:lang w:val="fr-BE" w:eastAsia="nl-NL"/>
        </w:rPr>
        <w:t xml:space="preserve">Nom et titre du </w:t>
      </w:r>
      <w:proofErr w:type="gramStart"/>
      <w:r w:rsidRPr="00C57832">
        <w:rPr>
          <w:rFonts w:eastAsia="Times New Roman"/>
          <w:szCs w:val="18"/>
          <w:lang w:val="fr-BE" w:eastAsia="nl-NL"/>
        </w:rPr>
        <w:t>signataire:_</w:t>
      </w:r>
      <w:proofErr w:type="gramEnd"/>
      <w:r w:rsidRPr="00C57832">
        <w:rPr>
          <w:rFonts w:eastAsia="Times New Roman"/>
          <w:szCs w:val="18"/>
          <w:lang w:val="fr-BE" w:eastAsia="nl-NL"/>
        </w:rPr>
        <w:t>______________________________________</w:t>
      </w:r>
    </w:p>
    <w:p w14:paraId="3F9BFDFE" w14:textId="77777777" w:rsidR="00AC5DB8" w:rsidRPr="00C57832" w:rsidRDefault="00AC5DB8" w:rsidP="00AC5DB8">
      <w:pPr>
        <w:spacing w:after="0"/>
        <w:jc w:val="both"/>
        <w:rPr>
          <w:rFonts w:eastAsia="Times New Roman"/>
          <w:szCs w:val="18"/>
          <w:lang w:val="fr-BE" w:eastAsia="nl-NL"/>
        </w:rPr>
      </w:pPr>
    </w:p>
    <w:p w14:paraId="2D07C9E9" w14:textId="77777777" w:rsidR="002B0941" w:rsidRPr="00C57832" w:rsidRDefault="002B0941" w:rsidP="002B0941">
      <w:pPr>
        <w:spacing w:after="0"/>
        <w:jc w:val="both"/>
        <w:rPr>
          <w:rFonts w:eastAsia="Times New Roman"/>
          <w:szCs w:val="18"/>
          <w:lang w:val="fr-BE" w:eastAsia="nl-NL"/>
        </w:rPr>
      </w:pPr>
      <w:r w:rsidRPr="00C57832">
        <w:rPr>
          <w:rFonts w:eastAsia="Times New Roman"/>
          <w:szCs w:val="18"/>
          <w:lang w:val="fr-BE" w:eastAsia="nl-NL"/>
        </w:rPr>
        <w:t xml:space="preserve">Dénomination de la </w:t>
      </w:r>
      <w:proofErr w:type="gramStart"/>
      <w:r w:rsidRPr="00C57832">
        <w:rPr>
          <w:rFonts w:eastAsia="Times New Roman"/>
          <w:szCs w:val="18"/>
          <w:lang w:val="fr-BE" w:eastAsia="nl-NL"/>
        </w:rPr>
        <w:t>banque:</w:t>
      </w:r>
      <w:proofErr w:type="gramEnd"/>
      <w:r w:rsidRPr="00C57832">
        <w:rPr>
          <w:rFonts w:eastAsia="Times New Roman"/>
          <w:szCs w:val="18"/>
          <w:lang w:val="fr-BE" w:eastAsia="nl-NL"/>
        </w:rPr>
        <w:t xml:space="preserve"> _____________________________________</w:t>
      </w:r>
    </w:p>
    <w:p w14:paraId="5E6BC194" w14:textId="77777777" w:rsidR="00AC5DB8" w:rsidRPr="00C57832" w:rsidRDefault="00AC5DB8" w:rsidP="00AC5DB8">
      <w:pPr>
        <w:spacing w:after="0"/>
        <w:jc w:val="both"/>
        <w:rPr>
          <w:rFonts w:eastAsia="Times New Roman"/>
          <w:szCs w:val="18"/>
          <w:lang w:val="fr-BE" w:eastAsia="nl-NL"/>
        </w:rPr>
      </w:pPr>
    </w:p>
    <w:p w14:paraId="66EE2F78" w14:textId="77777777" w:rsidR="00AC5DB8" w:rsidRPr="00C57832" w:rsidRDefault="00AC5DB8" w:rsidP="00AC5DB8">
      <w:pPr>
        <w:spacing w:after="0"/>
        <w:jc w:val="both"/>
        <w:rPr>
          <w:rFonts w:eastAsia="Times New Roman"/>
          <w:szCs w:val="18"/>
          <w:lang w:val="fr-BE" w:eastAsia="nl-NL"/>
        </w:rPr>
      </w:pPr>
    </w:p>
    <w:p w14:paraId="6623B64D" w14:textId="742EBDCC" w:rsidR="00B56BDA" w:rsidRPr="00C57832" w:rsidRDefault="00B56BDA">
      <w:pPr>
        <w:spacing w:after="0" w:line="240" w:lineRule="auto"/>
        <w:rPr>
          <w:lang w:val="fr-BE" w:eastAsia="nl-NL"/>
        </w:rPr>
      </w:pPr>
      <w:r w:rsidRPr="00C57832">
        <w:rPr>
          <w:lang w:val="fr-BE" w:eastAsia="nl-NL"/>
        </w:rPr>
        <w:br w:type="page"/>
      </w:r>
    </w:p>
    <w:p w14:paraId="49B48F26" w14:textId="77777777" w:rsidR="00B56BDA" w:rsidRPr="00C57832" w:rsidRDefault="00B56BDA" w:rsidP="00B56BDA">
      <w:pPr>
        <w:pStyle w:val="Titre2"/>
        <w:rPr>
          <w:lang w:val="fr-BE"/>
        </w:rPr>
      </w:pPr>
      <w:bookmarkStart w:id="227" w:name="_Toc513197792"/>
      <w:r w:rsidRPr="00C57832">
        <w:rPr>
          <w:lang w:val="fr-BE"/>
        </w:rPr>
        <w:lastRenderedPageBreak/>
        <w:t>Annexe J : Engagement de mise à disposition de moyens</w:t>
      </w:r>
      <w:bookmarkEnd w:id="227"/>
    </w:p>
    <w:p w14:paraId="3EF99451" w14:textId="77777777" w:rsidR="00B56BDA" w:rsidRPr="00C57832" w:rsidRDefault="00B56BDA" w:rsidP="00B56BDA">
      <w:pPr>
        <w:spacing w:after="120"/>
        <w:rPr>
          <w:i/>
          <w:iCs/>
          <w:lang w:val="fr-BE"/>
        </w:rPr>
      </w:pPr>
    </w:p>
    <w:p w14:paraId="2EE474AE" w14:textId="2ACE149D" w:rsidR="00B56BDA" w:rsidRPr="00C57832" w:rsidRDefault="00B56BDA" w:rsidP="00B56BDA">
      <w:pPr>
        <w:spacing w:after="120"/>
        <w:rPr>
          <w:i/>
          <w:iCs/>
          <w:lang w:val="fr-BE"/>
        </w:rPr>
      </w:pPr>
      <w:r w:rsidRPr="00C57832">
        <w:rPr>
          <w:i/>
          <w:iCs/>
          <w:lang w:val="fr-BE"/>
        </w:rPr>
        <w:t>[Nom du sous-traitant ou de l'autre entité]</w:t>
      </w:r>
    </w:p>
    <w:p w14:paraId="0D5D02D1" w14:textId="77777777" w:rsidR="00B56BDA" w:rsidRPr="00C57832" w:rsidRDefault="00B56BDA" w:rsidP="00B56BDA">
      <w:pPr>
        <w:spacing w:after="120"/>
        <w:rPr>
          <w:i/>
          <w:iCs/>
          <w:lang w:val="fr-BE"/>
        </w:rPr>
      </w:pPr>
      <w:r w:rsidRPr="00C57832">
        <w:rPr>
          <w:i/>
          <w:iCs/>
          <w:lang w:val="fr-BE"/>
        </w:rPr>
        <w:t>(Adresse)</w:t>
      </w:r>
    </w:p>
    <w:p w14:paraId="4441C9F7" w14:textId="6E79D2C2" w:rsidR="00B56BDA" w:rsidRPr="00C57832" w:rsidRDefault="00B56BDA" w:rsidP="00B56BDA">
      <w:pPr>
        <w:spacing w:after="120"/>
        <w:rPr>
          <w:i/>
          <w:iCs/>
          <w:lang w:val="fr-BE"/>
        </w:rPr>
      </w:pPr>
      <w:r w:rsidRPr="00C57832">
        <w:rPr>
          <w:i/>
          <w:iCs/>
          <w:lang w:val="fr-BE"/>
        </w:rPr>
        <w:t>(</w:t>
      </w:r>
      <w:proofErr w:type="gramStart"/>
      <w:r w:rsidRPr="00C57832">
        <w:rPr>
          <w:i/>
          <w:iCs/>
          <w:lang w:val="fr-BE"/>
        </w:rPr>
        <w:t>numéro</w:t>
      </w:r>
      <w:proofErr w:type="gramEnd"/>
      <w:r w:rsidRPr="00C57832">
        <w:rPr>
          <w:i/>
          <w:iCs/>
          <w:lang w:val="fr-BE"/>
        </w:rPr>
        <w:t xml:space="preserve"> BCE)</w:t>
      </w:r>
    </w:p>
    <w:p w14:paraId="5297600D" w14:textId="3AF94E8D" w:rsidR="00B56BDA" w:rsidRPr="00C57832" w:rsidRDefault="00B56BDA" w:rsidP="00B56BDA">
      <w:pPr>
        <w:spacing w:after="120"/>
        <w:rPr>
          <w:i/>
          <w:iCs/>
          <w:lang w:val="fr-BE"/>
        </w:rPr>
      </w:pPr>
    </w:p>
    <w:p w14:paraId="09475928" w14:textId="77777777" w:rsidR="00B56BDA" w:rsidRPr="00C57832" w:rsidRDefault="00B56BDA" w:rsidP="00B56BDA">
      <w:pPr>
        <w:spacing w:after="120"/>
        <w:rPr>
          <w:i/>
          <w:iCs/>
          <w:lang w:val="fr-BE"/>
        </w:rPr>
      </w:pPr>
    </w:p>
    <w:tbl>
      <w:tblPr>
        <w:tblW w:w="0" w:type="auto"/>
        <w:tblLayout w:type="fixed"/>
        <w:tblLook w:val="0000" w:firstRow="0" w:lastRow="0" w:firstColumn="0" w:lastColumn="0" w:noHBand="0" w:noVBand="0"/>
      </w:tblPr>
      <w:tblGrid>
        <w:gridCol w:w="1100"/>
        <w:gridCol w:w="8961"/>
      </w:tblGrid>
      <w:tr w:rsidR="00B56BDA" w:rsidRPr="007174D8" w14:paraId="6FEB9D33" w14:textId="77777777" w:rsidTr="00F072AF">
        <w:trPr>
          <w:cantSplit/>
        </w:trPr>
        <w:tc>
          <w:tcPr>
            <w:tcW w:w="1100" w:type="dxa"/>
            <w:vMerge w:val="restart"/>
            <w:tcBorders>
              <w:top w:val="nil"/>
              <w:left w:val="nil"/>
              <w:bottom w:val="nil"/>
              <w:right w:val="nil"/>
            </w:tcBorders>
          </w:tcPr>
          <w:p w14:paraId="2AEDF1DB" w14:textId="77777777" w:rsidR="00B56BDA" w:rsidRPr="00C57832" w:rsidRDefault="00B56BDA" w:rsidP="00F072AF">
            <w:pPr>
              <w:rPr>
                <w:rFonts w:eastAsia="Calibri"/>
                <w:b/>
                <w:lang w:val="fr-BE"/>
              </w:rPr>
            </w:pPr>
            <w:r w:rsidRPr="00C57832">
              <w:rPr>
                <w:rFonts w:eastAsia="Calibri"/>
                <w:b/>
                <w:lang w:val="fr-BE"/>
              </w:rPr>
              <w:t>Sujet :</w:t>
            </w:r>
          </w:p>
        </w:tc>
        <w:tc>
          <w:tcPr>
            <w:tcW w:w="8961" w:type="dxa"/>
            <w:tcBorders>
              <w:top w:val="nil"/>
              <w:left w:val="nil"/>
              <w:bottom w:val="nil"/>
              <w:right w:val="nil"/>
            </w:tcBorders>
          </w:tcPr>
          <w:p w14:paraId="05643255" w14:textId="77777777" w:rsidR="00B56BDA" w:rsidRPr="00C57832" w:rsidRDefault="00B56BDA" w:rsidP="00F072AF">
            <w:pPr>
              <w:tabs>
                <w:tab w:val="left" w:pos="993"/>
              </w:tabs>
              <w:rPr>
                <w:rFonts w:eastAsia="Calibri"/>
                <w:lang w:val="fr-BE"/>
              </w:rPr>
            </w:pPr>
            <w:r w:rsidRPr="00C57832">
              <w:rPr>
                <w:rFonts w:eastAsia="Calibri"/>
                <w:lang w:val="fr-BE"/>
              </w:rPr>
              <w:t>Marché public (Numéro de référence et intitulé du marché)</w:t>
            </w:r>
          </w:p>
        </w:tc>
      </w:tr>
      <w:tr w:rsidR="00B56BDA" w:rsidRPr="007174D8" w14:paraId="10B33F16" w14:textId="77777777" w:rsidTr="00F072AF">
        <w:trPr>
          <w:cantSplit/>
        </w:trPr>
        <w:tc>
          <w:tcPr>
            <w:tcW w:w="1100" w:type="dxa"/>
            <w:vMerge/>
            <w:tcBorders>
              <w:top w:val="nil"/>
              <w:left w:val="nil"/>
              <w:bottom w:val="nil"/>
              <w:right w:val="nil"/>
            </w:tcBorders>
          </w:tcPr>
          <w:p w14:paraId="3CFAA1D1" w14:textId="77777777" w:rsidR="00B56BDA" w:rsidRPr="00C57832" w:rsidRDefault="00B56BDA" w:rsidP="00F072AF">
            <w:pPr>
              <w:rPr>
                <w:rFonts w:eastAsia="Calibri"/>
                <w:lang w:val="fr-BE"/>
              </w:rPr>
            </w:pPr>
          </w:p>
        </w:tc>
        <w:tc>
          <w:tcPr>
            <w:tcW w:w="8961" w:type="dxa"/>
            <w:tcBorders>
              <w:top w:val="nil"/>
              <w:left w:val="nil"/>
              <w:bottom w:val="nil"/>
              <w:right w:val="nil"/>
            </w:tcBorders>
          </w:tcPr>
          <w:p w14:paraId="761EA52A" w14:textId="77777777" w:rsidR="00B56BDA" w:rsidRPr="00C57832" w:rsidRDefault="00B56BDA" w:rsidP="00F072AF">
            <w:pPr>
              <w:tabs>
                <w:tab w:val="left" w:pos="993"/>
              </w:tabs>
              <w:rPr>
                <w:rFonts w:eastAsia="Calibri"/>
                <w:lang w:val="fr-BE"/>
              </w:rPr>
            </w:pPr>
            <w:r w:rsidRPr="00C57832">
              <w:rPr>
                <w:rFonts w:eastAsia="Calibri"/>
                <w:lang w:val="fr-BE"/>
              </w:rPr>
              <w:t xml:space="preserve">Engagement d’un sous-traitant ou d’une autre entité à mettre des moyens à disposition dans le cadre de la sélection qualitative </w:t>
            </w:r>
          </w:p>
        </w:tc>
      </w:tr>
    </w:tbl>
    <w:p w14:paraId="4787E82A" w14:textId="36EEDB02" w:rsidR="00B56BDA" w:rsidRPr="00C57832" w:rsidRDefault="00B56BDA" w:rsidP="00B56BDA">
      <w:pPr>
        <w:rPr>
          <w:lang w:val="fr-BE"/>
        </w:rPr>
      </w:pPr>
    </w:p>
    <w:p w14:paraId="0454B4F8" w14:textId="77777777" w:rsidR="00B56BDA" w:rsidRPr="00C57832" w:rsidRDefault="00B56BDA" w:rsidP="00B56BDA">
      <w:pPr>
        <w:rPr>
          <w:lang w:val="fr-BE"/>
        </w:rPr>
      </w:pPr>
    </w:p>
    <w:p w14:paraId="43E25D70" w14:textId="7AF1E75D" w:rsidR="00B56BDA" w:rsidRPr="00C57832" w:rsidRDefault="00B56BDA" w:rsidP="00B56BDA">
      <w:pPr>
        <w:spacing w:after="120"/>
        <w:rPr>
          <w:lang w:val="fr-BE"/>
        </w:rPr>
      </w:pPr>
      <w:r w:rsidRPr="00C57832">
        <w:rPr>
          <w:i/>
          <w:iCs/>
          <w:lang w:val="fr-BE"/>
        </w:rPr>
        <w:t>(Nom du sous-traitant ou de l’autre entité)</w:t>
      </w:r>
      <w:r w:rsidRPr="00C57832">
        <w:rPr>
          <w:lang w:val="fr-BE"/>
        </w:rPr>
        <w:t xml:space="preserve">, valablement représenté par le soussigné, </w:t>
      </w:r>
      <w:r w:rsidRPr="00C57832">
        <w:rPr>
          <w:i/>
          <w:iCs/>
          <w:lang w:val="fr-BE"/>
        </w:rPr>
        <w:t>(nom et fonction du signataire)</w:t>
      </w:r>
      <w:r w:rsidRPr="00C57832">
        <w:rPr>
          <w:lang w:val="fr-BE"/>
        </w:rPr>
        <w:t xml:space="preserve">, s’engage unilatéralement, dans le cadre du marché public susmentionné, </w:t>
      </w:r>
      <w:r w:rsidRPr="00C57832">
        <w:rPr>
          <w:i/>
          <w:iCs/>
          <w:lang w:val="fr-BE"/>
        </w:rPr>
        <w:t>vis-à-vis de (nom du soumissionnaire au marché),</w:t>
      </w:r>
      <w:r w:rsidRPr="00C57832">
        <w:rPr>
          <w:lang w:val="fr-BE"/>
        </w:rPr>
        <w:t xml:space="preserve"> à :</w:t>
      </w:r>
    </w:p>
    <w:p w14:paraId="2D45CCAD" w14:textId="77777777" w:rsidR="00B56BDA" w:rsidRPr="00C57832" w:rsidRDefault="00B56BDA" w:rsidP="00B56BDA">
      <w:pPr>
        <w:spacing w:after="120"/>
        <w:rPr>
          <w:lang w:val="fr-BE"/>
        </w:rPr>
      </w:pPr>
    </w:p>
    <w:p w14:paraId="5E2764C8" w14:textId="63F3D6E9" w:rsidR="00B56BDA" w:rsidRPr="00C57832" w:rsidRDefault="00B56BDA" w:rsidP="00B56BDA">
      <w:pPr>
        <w:spacing w:after="120"/>
        <w:rPr>
          <w:lang w:val="fr-BE"/>
        </w:rPr>
      </w:pPr>
      <w:proofErr w:type="gramStart"/>
      <w:r w:rsidRPr="00C57832">
        <w:rPr>
          <w:lang w:val="fr-BE"/>
        </w:rPr>
        <w:t>mettre</w:t>
      </w:r>
      <w:proofErr w:type="gramEnd"/>
      <w:r w:rsidRPr="00C57832">
        <w:rPr>
          <w:lang w:val="fr-BE"/>
        </w:rPr>
        <w:t xml:space="preserve"> les moyens nécessaires à disposition du soumissionnaire pour l’exécution de la partie du marché pour laquelle il est fait appel à ses capacités.</w:t>
      </w:r>
    </w:p>
    <w:p w14:paraId="1C889CA3" w14:textId="77777777" w:rsidR="00B56BDA" w:rsidRPr="00C57832" w:rsidRDefault="00B56BDA" w:rsidP="00B56BDA">
      <w:pPr>
        <w:spacing w:after="120"/>
        <w:rPr>
          <w:lang w:val="fr-BE"/>
        </w:rPr>
      </w:pPr>
    </w:p>
    <w:p w14:paraId="2852375B" w14:textId="77777777" w:rsidR="00B56BDA" w:rsidRPr="00C57832" w:rsidRDefault="00B56BDA" w:rsidP="00B56BDA">
      <w:pPr>
        <w:spacing w:after="120"/>
        <w:rPr>
          <w:lang w:val="fr-BE"/>
        </w:rPr>
      </w:pPr>
      <w:r w:rsidRPr="00C57832">
        <w:rPr>
          <w:i/>
          <w:iCs/>
          <w:lang w:val="fr-BE"/>
        </w:rPr>
        <w:t xml:space="preserve">(Si la clause facultative sous 11.3. </w:t>
      </w:r>
      <w:proofErr w:type="gramStart"/>
      <w:r w:rsidRPr="00C57832">
        <w:rPr>
          <w:i/>
          <w:iCs/>
          <w:lang w:val="fr-BE"/>
        </w:rPr>
        <w:t>a</w:t>
      </w:r>
      <w:proofErr w:type="gramEnd"/>
      <w:r w:rsidRPr="00C57832">
        <w:rPr>
          <w:i/>
          <w:iCs/>
          <w:lang w:val="fr-BE"/>
        </w:rPr>
        <w:t xml:space="preserve"> été intégrée au cahier des charges, incluez aussi la clause suivante :) </w:t>
      </w:r>
      <w:r w:rsidRPr="00C57832">
        <w:rPr>
          <w:lang w:val="fr-BE"/>
        </w:rPr>
        <w:t xml:space="preserve">Vu qu’il est fait appel à ses capacités dans le cadre des critères économiques et financiers, </w:t>
      </w:r>
      <w:r w:rsidRPr="00C57832">
        <w:rPr>
          <w:i/>
          <w:iCs/>
          <w:lang w:val="fr-BE"/>
        </w:rPr>
        <w:t>(nom du sous-traitant ou de l’autre entité)</w:t>
      </w:r>
      <w:r w:rsidRPr="00C57832">
        <w:rPr>
          <w:lang w:val="fr-BE"/>
        </w:rPr>
        <w:t xml:space="preserve"> accepte d’être solidairement responsable pour l’exécution du marché.</w:t>
      </w:r>
    </w:p>
    <w:p w14:paraId="75226AB5" w14:textId="77777777" w:rsidR="00B56BDA" w:rsidRPr="00C57832" w:rsidRDefault="00B56BDA" w:rsidP="00B56BDA">
      <w:pPr>
        <w:rPr>
          <w:lang w:val="fr-BE"/>
        </w:rPr>
      </w:pPr>
    </w:p>
    <w:p w14:paraId="44649AFD" w14:textId="1C33DEFF" w:rsidR="00B56BDA" w:rsidRPr="00C57832" w:rsidRDefault="00B56BDA" w:rsidP="00B56BDA">
      <w:pPr>
        <w:spacing w:after="120"/>
        <w:rPr>
          <w:i/>
          <w:iCs/>
          <w:lang w:val="fr-BE"/>
        </w:rPr>
      </w:pPr>
      <w:r w:rsidRPr="00C57832">
        <w:rPr>
          <w:lang w:val="fr-BE"/>
        </w:rPr>
        <w:t xml:space="preserve">Fait à </w:t>
      </w:r>
      <w:r w:rsidRPr="00C57832">
        <w:rPr>
          <w:i/>
          <w:iCs/>
          <w:lang w:val="fr-BE"/>
        </w:rPr>
        <w:t>(lieu)</w:t>
      </w:r>
      <w:r w:rsidRPr="00C57832">
        <w:rPr>
          <w:lang w:val="fr-BE"/>
        </w:rPr>
        <w:t xml:space="preserve"> le </w:t>
      </w:r>
      <w:r w:rsidRPr="00C57832">
        <w:rPr>
          <w:i/>
          <w:iCs/>
          <w:lang w:val="fr-BE"/>
        </w:rPr>
        <w:t>(date)</w:t>
      </w:r>
    </w:p>
    <w:p w14:paraId="0CFEA5EC" w14:textId="4D3F39DF" w:rsidR="00B56BDA" w:rsidRPr="00C57832" w:rsidRDefault="00B56BDA" w:rsidP="00B56BDA">
      <w:pPr>
        <w:spacing w:after="120"/>
        <w:rPr>
          <w:i/>
          <w:iCs/>
          <w:lang w:val="fr-BE"/>
        </w:rPr>
      </w:pPr>
    </w:p>
    <w:p w14:paraId="0D9BF6C8" w14:textId="77777777" w:rsidR="00B56BDA" w:rsidRPr="00C57832" w:rsidRDefault="00B56BDA" w:rsidP="00B56BDA">
      <w:pPr>
        <w:spacing w:after="120"/>
        <w:rPr>
          <w:lang w:val="fr-BE"/>
        </w:rPr>
      </w:pPr>
    </w:p>
    <w:p w14:paraId="629AB1DA" w14:textId="02762466" w:rsidR="00B56BDA" w:rsidRPr="00C57832" w:rsidRDefault="00B56BDA" w:rsidP="00B56BDA">
      <w:pPr>
        <w:spacing w:after="120"/>
        <w:rPr>
          <w:i/>
          <w:iCs/>
          <w:lang w:val="fr-BE"/>
        </w:rPr>
      </w:pPr>
      <w:r w:rsidRPr="00C57832">
        <w:rPr>
          <w:i/>
          <w:iCs/>
          <w:lang w:val="fr-BE"/>
        </w:rPr>
        <w:t>(Signature)</w:t>
      </w:r>
    </w:p>
    <w:p w14:paraId="095F0FDC" w14:textId="4DBE0E51" w:rsidR="00B56BDA" w:rsidRPr="00C57832" w:rsidRDefault="00B56BDA" w:rsidP="00B56BDA">
      <w:pPr>
        <w:spacing w:after="120"/>
        <w:rPr>
          <w:i/>
          <w:iCs/>
          <w:lang w:val="fr-BE"/>
        </w:rPr>
      </w:pPr>
    </w:p>
    <w:p w14:paraId="0F3818F6" w14:textId="77777777" w:rsidR="00B56BDA" w:rsidRPr="00C57832" w:rsidRDefault="00B56BDA" w:rsidP="00B56BDA">
      <w:pPr>
        <w:spacing w:after="120"/>
        <w:rPr>
          <w:i/>
          <w:iCs/>
          <w:lang w:val="fr-BE"/>
        </w:rPr>
      </w:pPr>
    </w:p>
    <w:p w14:paraId="63A5DF25" w14:textId="7F7E1A4A" w:rsidR="00B56BDA" w:rsidRPr="00C57832" w:rsidRDefault="00B56BDA" w:rsidP="00B56BDA">
      <w:pPr>
        <w:spacing w:after="120"/>
        <w:rPr>
          <w:i/>
          <w:iCs/>
          <w:lang w:val="fr-BE"/>
        </w:rPr>
      </w:pPr>
      <w:r w:rsidRPr="00C57832">
        <w:rPr>
          <w:i/>
          <w:iCs/>
          <w:lang w:val="fr-BE"/>
        </w:rPr>
        <w:t>(Nom du signataire)</w:t>
      </w:r>
    </w:p>
    <w:p w14:paraId="23C38890" w14:textId="77777777" w:rsidR="00B56BDA" w:rsidRPr="00C57832" w:rsidRDefault="00B56BDA" w:rsidP="00B56BDA">
      <w:pPr>
        <w:spacing w:after="120"/>
        <w:rPr>
          <w:i/>
          <w:iCs/>
          <w:lang w:val="fr-BE"/>
        </w:rPr>
      </w:pPr>
    </w:p>
    <w:p w14:paraId="6D6E7E4F" w14:textId="77777777" w:rsidR="00B56BDA" w:rsidRPr="00C57832" w:rsidRDefault="00B56BDA" w:rsidP="00B56BDA">
      <w:pPr>
        <w:spacing w:after="120"/>
        <w:rPr>
          <w:i/>
          <w:iCs/>
          <w:lang w:val="fr-BE"/>
        </w:rPr>
      </w:pPr>
      <w:r w:rsidRPr="00C57832">
        <w:rPr>
          <w:i/>
          <w:iCs/>
          <w:lang w:val="fr-BE"/>
        </w:rPr>
        <w:t>(Fonction)</w:t>
      </w:r>
    </w:p>
    <w:p w14:paraId="42F07DCE" w14:textId="77777777" w:rsidR="00B56BDA" w:rsidRPr="00C57832" w:rsidRDefault="00B56BDA" w:rsidP="00B56BDA">
      <w:pPr>
        <w:rPr>
          <w:szCs w:val="18"/>
          <w:lang w:val="fr-BE"/>
        </w:rPr>
      </w:pPr>
    </w:p>
    <w:p w14:paraId="40343A43" w14:textId="77777777" w:rsidR="00AC5DB8" w:rsidRPr="00C57832" w:rsidRDefault="00AC5DB8" w:rsidP="0064271A">
      <w:pPr>
        <w:rPr>
          <w:lang w:val="fr-BE" w:eastAsia="nl-NL"/>
        </w:rPr>
      </w:pPr>
    </w:p>
    <w:sectPr w:rsidR="00AC5DB8" w:rsidRPr="00C57832" w:rsidSect="00E767F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5C0D" w14:textId="77777777" w:rsidR="007D6E06" w:rsidRDefault="007D6E06">
      <w:r>
        <w:separator/>
      </w:r>
    </w:p>
  </w:endnote>
  <w:endnote w:type="continuationSeparator" w:id="0">
    <w:p w14:paraId="5409A739" w14:textId="77777777" w:rsidR="007D6E06" w:rsidRDefault="007D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erif-Regular">
    <w:altName w:val="Courier New"/>
    <w:charset w:val="00"/>
    <w:family w:val="auto"/>
    <w:pitch w:val="variable"/>
    <w:sig w:usb0="00000001"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327295"/>
      <w:docPartObj>
        <w:docPartGallery w:val="Page Numbers (Bottom of Page)"/>
        <w:docPartUnique/>
      </w:docPartObj>
    </w:sdtPr>
    <w:sdtEndPr>
      <w:rPr>
        <w:noProof/>
      </w:rPr>
    </w:sdtEndPr>
    <w:sdtContent>
      <w:p w14:paraId="22AAF0C2" w14:textId="0DA0E87F" w:rsidR="0012737C" w:rsidRDefault="0012737C" w:rsidP="00890802">
        <w:pPr>
          <w:pStyle w:val="Pieddepage"/>
          <w:jc w:val="right"/>
        </w:pPr>
        <w:r>
          <w:fldChar w:fldCharType="begin"/>
        </w:r>
        <w:r>
          <w:instrText xml:space="preserve"> PAGE   \* MERGEFORMAT </w:instrText>
        </w:r>
        <w:r>
          <w:fldChar w:fldCharType="separate"/>
        </w:r>
        <w:r w:rsidR="00E21963">
          <w:rPr>
            <w:noProof/>
          </w:rPr>
          <w:t>3</w:t>
        </w:r>
        <w:r>
          <w:rPr>
            <w:noProof/>
          </w:rPr>
          <w:fldChar w:fldCharType="end"/>
        </w:r>
        <w:r>
          <w:rPr>
            <w:noProof/>
          </w:rPr>
          <w:t>/52</w:t>
        </w:r>
      </w:p>
    </w:sdtContent>
  </w:sdt>
  <w:p w14:paraId="4C9F63FB" w14:textId="27A52CA0" w:rsidR="0012737C" w:rsidRDefault="0012737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80A6" w14:textId="7B0D8FB2" w:rsidR="0012737C" w:rsidRDefault="0012737C">
    <w:pPr>
      <w:pStyle w:val="Pieddepage"/>
      <w:rPr>
        <w:lang w:val="fr-FR"/>
      </w:rPr>
    </w:pPr>
    <w:r>
      <w:rPr>
        <w:lang w:val="fr-FR"/>
      </w:rPr>
      <w:tab/>
    </w:r>
    <w:r>
      <w:rPr>
        <w:lang w:val="fr-FR"/>
      </w:rPr>
      <w:tab/>
    </w:r>
    <w:r>
      <w:rPr>
        <w:lang w:val="fr-FR"/>
      </w:rPr>
      <w:tab/>
    </w:r>
    <w:r>
      <w:rPr>
        <w:rStyle w:val="Numrodepage"/>
      </w:rPr>
      <w:fldChar w:fldCharType="begin"/>
    </w:r>
    <w:r>
      <w:rPr>
        <w:rStyle w:val="Numrodepage"/>
        <w:lang w:val="fr-FR"/>
      </w:rPr>
      <w:instrText xml:space="preserve"> PAGE </w:instrText>
    </w:r>
    <w:r>
      <w:rPr>
        <w:rStyle w:val="Numrodepage"/>
      </w:rPr>
      <w:fldChar w:fldCharType="separate"/>
    </w:r>
    <w:r w:rsidR="00285B20">
      <w:rPr>
        <w:rStyle w:val="Numrodepage"/>
        <w:noProof/>
        <w:lang w:val="fr-FR"/>
      </w:rPr>
      <w:t>56</w:t>
    </w:r>
    <w:r>
      <w:rPr>
        <w:rStyle w:val="Numrodepage"/>
      </w:rPr>
      <w:fldChar w:fldCharType="end"/>
    </w:r>
    <w:r>
      <w:rPr>
        <w:rStyle w:val="Numrodepage"/>
        <w:lang w:val="fr-FR"/>
      </w:rPr>
      <w:t>/</w:t>
    </w:r>
    <w:r>
      <w:rPr>
        <w:rStyle w:val="Numrodepage"/>
      </w:rPr>
      <w:fldChar w:fldCharType="begin"/>
    </w:r>
    <w:r>
      <w:rPr>
        <w:rStyle w:val="Numrodepage"/>
        <w:lang w:val="fr-FR"/>
      </w:rPr>
      <w:instrText xml:space="preserve"> NUMPAGES </w:instrText>
    </w:r>
    <w:r>
      <w:rPr>
        <w:rStyle w:val="Numrodepage"/>
      </w:rPr>
      <w:fldChar w:fldCharType="separate"/>
    </w:r>
    <w:r w:rsidR="00285B20">
      <w:rPr>
        <w:rStyle w:val="Numrodepage"/>
        <w:noProof/>
        <w:lang w:val="fr-FR"/>
      </w:rPr>
      <w:t>65</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5DEFA" w14:textId="77777777" w:rsidR="007D6E06" w:rsidRDefault="007D6E06">
      <w:pPr>
        <w:pStyle w:val="Notedebasdepage"/>
      </w:pPr>
      <w:r>
        <w:separator/>
      </w:r>
    </w:p>
  </w:footnote>
  <w:footnote w:type="continuationSeparator" w:id="0">
    <w:p w14:paraId="0C3D5026" w14:textId="77777777" w:rsidR="007D6E06" w:rsidRDefault="007D6E06">
      <w:r>
        <w:continuationSeparator/>
      </w:r>
    </w:p>
  </w:footnote>
  <w:footnote w:id="1">
    <w:p w14:paraId="397C80A7" w14:textId="77777777" w:rsidR="0012737C" w:rsidRPr="005E76CA" w:rsidRDefault="0012737C">
      <w:pPr>
        <w:pStyle w:val="Notedebasdepage"/>
        <w:rPr>
          <w:lang w:val="fr-BE"/>
        </w:rPr>
      </w:pPr>
      <w:r>
        <w:rPr>
          <w:rStyle w:val="Appelnotedebasdep"/>
        </w:rPr>
        <w:footnoteRef/>
      </w:r>
      <w:r w:rsidRPr="00084048">
        <w:rPr>
          <w:lang w:val="fr-BE"/>
        </w:rPr>
        <w:t xml:space="preserve"> Liste non-exhaustive à compléter éventuellement par le </w:t>
      </w:r>
      <w:r>
        <w:rPr>
          <w:lang w:val="fr-BE"/>
        </w:rPr>
        <w:t>p</w:t>
      </w:r>
      <w:r w:rsidRPr="00084048">
        <w:rPr>
          <w:lang w:val="fr-BE"/>
        </w:rPr>
        <w:t>ouvoir adjudicateur.</w:t>
      </w:r>
    </w:p>
  </w:footnote>
  <w:footnote w:id="2">
    <w:p w14:paraId="397C80A8" w14:textId="0E19A466" w:rsidR="0012737C" w:rsidRPr="00814B50" w:rsidRDefault="0012737C" w:rsidP="00FD4339">
      <w:pPr>
        <w:pStyle w:val="Notedebasdepage"/>
        <w:spacing w:line="240" w:lineRule="auto"/>
        <w:rPr>
          <w:color w:val="FF0000"/>
          <w:lang w:val="fr-BE"/>
        </w:rPr>
      </w:pPr>
      <w:r>
        <w:rPr>
          <w:rStyle w:val="Appelnotedebasdep"/>
        </w:rPr>
        <w:footnoteRef/>
      </w:r>
      <w:r w:rsidRPr="00084048">
        <w:rPr>
          <w:lang w:val="fr-BE"/>
        </w:rPr>
        <w:t xml:space="preserve"> </w:t>
      </w:r>
      <w:r w:rsidRPr="00814B50">
        <w:rPr>
          <w:lang w:val="fr-BE"/>
        </w:rPr>
        <w:t xml:space="preserve">Compléter le nombre de lots sur base du type de services (porte-à-porte, </w:t>
      </w:r>
      <w:proofErr w:type="spellStart"/>
      <w:r w:rsidRPr="00814B50">
        <w:rPr>
          <w:lang w:val="fr-BE"/>
        </w:rPr>
        <w:t>recyparc</w:t>
      </w:r>
      <w:proofErr w:type="spellEnd"/>
      <w:r w:rsidRPr="00814B50">
        <w:rPr>
          <w:lang w:val="fr-BE"/>
        </w:rPr>
        <w:t>, …) et de la(les) zone(s) géographique(s</w:t>
      </w:r>
      <w:r w:rsidRPr="00364443">
        <w:rPr>
          <w:lang w:val="fr-BE"/>
        </w:rPr>
        <w:t>)). En cas de marchés supérieurs à 139.000 euros hors TVA, il faut envisager une répartition en lots et, si aucun lot n’est prévu, une motivation sera à inclure dans les documents relatifs au marché ou dans le dossier</w:t>
      </w:r>
      <w:r w:rsidRPr="00364443">
        <w:rPr>
          <w:sz w:val="18"/>
          <w:szCs w:val="24"/>
          <w:lang w:val="fr-BE"/>
        </w:rPr>
        <w:t xml:space="preserve"> </w:t>
      </w:r>
      <w:r w:rsidRPr="00364443">
        <w:rPr>
          <w:lang w:val="fr-BE"/>
        </w:rPr>
        <w:t>administratif.</w:t>
      </w:r>
    </w:p>
  </w:footnote>
  <w:footnote w:id="3">
    <w:p w14:paraId="397C80A9" w14:textId="77777777" w:rsidR="0012737C" w:rsidRPr="00814B50" w:rsidRDefault="0012737C" w:rsidP="00FD4339">
      <w:pPr>
        <w:pStyle w:val="Notedebasdepage"/>
        <w:spacing w:line="240" w:lineRule="auto"/>
        <w:rPr>
          <w:lang w:val="fr-BE"/>
        </w:rPr>
      </w:pPr>
      <w:r w:rsidRPr="00814B50">
        <w:rPr>
          <w:rStyle w:val="Appelnotedebasdep"/>
          <w:lang w:val="fr-BE"/>
        </w:rPr>
        <w:footnoteRef/>
      </w:r>
      <w:r w:rsidRPr="00814B50">
        <w:rPr>
          <w:lang w:val="fr-BE"/>
        </w:rPr>
        <w:t xml:space="preserve"> Idem.</w:t>
      </w:r>
    </w:p>
  </w:footnote>
  <w:footnote w:id="4">
    <w:p w14:paraId="397C80AA" w14:textId="77777777" w:rsidR="0012737C" w:rsidRPr="00F6106B" w:rsidRDefault="0012737C" w:rsidP="00FD4339">
      <w:pPr>
        <w:pStyle w:val="Notedebasdepage"/>
        <w:spacing w:line="240" w:lineRule="auto"/>
        <w:rPr>
          <w:lang w:val="fr-BE"/>
        </w:rPr>
      </w:pPr>
      <w:r>
        <w:rPr>
          <w:rStyle w:val="Appelnotedebasdep"/>
        </w:rPr>
        <w:footnoteRef/>
      </w:r>
      <w:r w:rsidRPr="00084048">
        <w:rPr>
          <w:lang w:val="fr-BE"/>
        </w:rPr>
        <w:t xml:space="preserve"> </w:t>
      </w:r>
      <w:r>
        <w:rPr>
          <w:lang w:val="fr-BE"/>
        </w:rPr>
        <w:t>Idem.</w:t>
      </w:r>
    </w:p>
  </w:footnote>
  <w:footnote w:id="5">
    <w:p w14:paraId="380E937C" w14:textId="5A52F78E" w:rsidR="0012737C" w:rsidRDefault="0012737C" w:rsidP="008F0928">
      <w:pPr>
        <w:pStyle w:val="Notedebasdepage"/>
        <w:rPr>
          <w:lang w:val="fr-FR"/>
        </w:rPr>
      </w:pPr>
      <w:r w:rsidRPr="00B65629">
        <w:rPr>
          <w:rStyle w:val="Appelnotedebasdep"/>
        </w:rPr>
        <w:footnoteRef/>
      </w:r>
      <w:r w:rsidRPr="00B65629">
        <w:rPr>
          <w:vertAlign w:val="superscript"/>
          <w:lang w:val="fr-FR"/>
        </w:rPr>
        <w:t xml:space="preserve"> </w:t>
      </w:r>
      <w:r w:rsidRPr="00B65629">
        <w:rPr>
          <w:lang w:val="fr-FR"/>
        </w:rPr>
        <w:t>Minimum</w:t>
      </w:r>
      <w:r w:rsidRPr="00726D06">
        <w:rPr>
          <w:lang w:val="fr-FR"/>
        </w:rPr>
        <w:t xml:space="preserve"> de 5 ans.</w:t>
      </w:r>
    </w:p>
  </w:footnote>
  <w:footnote w:id="6">
    <w:p w14:paraId="397C80AC" w14:textId="77777777" w:rsidR="0012737C" w:rsidRPr="00094E4F" w:rsidRDefault="0012737C" w:rsidP="00FD4339">
      <w:pPr>
        <w:pStyle w:val="Notedebasdepage"/>
        <w:spacing w:line="240" w:lineRule="auto"/>
        <w:rPr>
          <w:lang w:val="fr-BE"/>
        </w:rPr>
      </w:pPr>
      <w:r>
        <w:rPr>
          <w:rStyle w:val="Appelnotedebasdep"/>
        </w:rPr>
        <w:footnoteRef/>
      </w:r>
      <w:r w:rsidRPr="0063423B">
        <w:rPr>
          <w:lang w:val="fr-BE"/>
        </w:rPr>
        <w:t xml:space="preserve"> </w:t>
      </w:r>
      <w:r>
        <w:rPr>
          <w:lang w:val="fr-BE"/>
        </w:rPr>
        <w:t>Liste non-exhaustive à compléter éventuellement par le pouvoir adjudicateur.</w:t>
      </w:r>
    </w:p>
  </w:footnote>
  <w:footnote w:id="7">
    <w:p w14:paraId="40FE9A06" w14:textId="0387EC69" w:rsidR="0012737C" w:rsidRPr="00F6114E" w:rsidRDefault="0012737C" w:rsidP="00490C37">
      <w:pPr>
        <w:pStyle w:val="Notedebasdepage"/>
        <w:rPr>
          <w:szCs w:val="16"/>
          <w:lang w:val="fr-BE"/>
        </w:rPr>
      </w:pPr>
      <w:r w:rsidRPr="00F6114E">
        <w:rPr>
          <w:rStyle w:val="Appelnotedebasdep"/>
          <w:szCs w:val="16"/>
        </w:rPr>
        <w:footnoteRef/>
      </w:r>
      <w:r w:rsidRPr="00F6114E">
        <w:rPr>
          <w:szCs w:val="16"/>
          <w:lang w:val="fr-BE"/>
        </w:rPr>
        <w:t xml:space="preserve"> Si des heures/jours ouvrables supplémentaires s'avèrent nécessaires (par exemple, en raison d'un jour de rattrapage…), l'intercommunale est tenue de le mentionner spécifiquement et en détail dans le cahier des charges.</w:t>
      </w:r>
    </w:p>
  </w:footnote>
  <w:footnote w:id="8">
    <w:p w14:paraId="397C80B1" w14:textId="77777777" w:rsidR="0012737C" w:rsidRPr="000F0302" w:rsidRDefault="0012737C" w:rsidP="00FD4339">
      <w:pPr>
        <w:pStyle w:val="Notedebasdepage"/>
        <w:spacing w:line="240" w:lineRule="auto"/>
        <w:rPr>
          <w:lang w:val="fr-BE"/>
        </w:rPr>
      </w:pPr>
      <w:r>
        <w:rPr>
          <w:rStyle w:val="Appelnotedebasdep"/>
        </w:rPr>
        <w:footnoteRef/>
      </w:r>
      <w:r w:rsidRPr="00084048">
        <w:rPr>
          <w:lang w:val="fr-BE"/>
        </w:rPr>
        <w:t xml:space="preserve"> </w:t>
      </w:r>
      <w:r>
        <w:rPr>
          <w:lang w:val="fr-BE"/>
        </w:rPr>
        <w:t>Le pouvoir adjudicateur peut ajouter des éventuels sous-critères. Il doit alors attribuer des points par sous-critère et décrire sa méthode d’évaluation.</w:t>
      </w:r>
    </w:p>
  </w:footnote>
  <w:footnote w:id="9">
    <w:p w14:paraId="467D791F" w14:textId="57080D6B" w:rsidR="0012737C" w:rsidRPr="000834B3" w:rsidRDefault="0012737C">
      <w:pPr>
        <w:pStyle w:val="Notedebasdepage"/>
        <w:rPr>
          <w:lang w:val="fr-BE"/>
        </w:rPr>
      </w:pPr>
      <w:r w:rsidRPr="000834B3">
        <w:rPr>
          <w:rStyle w:val="Appelnotedebasdep"/>
        </w:rPr>
        <w:footnoteRef/>
      </w:r>
      <w:r w:rsidRPr="000834B3">
        <w:rPr>
          <w:lang w:val="fr-BE"/>
        </w:rPr>
        <w:t xml:space="preserve"> </w:t>
      </w:r>
      <w:r w:rsidRPr="000834B3">
        <w:rPr>
          <w:rFonts w:ascii="Calibri" w:hAnsi="Calibri"/>
          <w:szCs w:val="16"/>
          <w:lang w:val="fr-BE"/>
        </w:rPr>
        <w:t>Les clauses de réexamen doivent être choisies et rédigées en fonction de la nature du marché et des faits dont le pouvoir adjudicateur a connaissance et qui pourraient influer sur l'exécution du marché. Si une telle clause n'est pas ajoutée, seules les dispositions peuvent être invoquées de plein droit tant par l’adjudicataire que par le pouvoir adjudicateur.</w:t>
      </w:r>
    </w:p>
  </w:footnote>
  <w:footnote w:id="10">
    <w:p w14:paraId="2DB3A1D9" w14:textId="47DAA7E8" w:rsidR="0012737C" w:rsidRPr="00ED65A6" w:rsidRDefault="0012737C">
      <w:pPr>
        <w:pStyle w:val="Notedebasdepage"/>
        <w:rPr>
          <w:lang w:val="fr-BE"/>
        </w:rPr>
      </w:pPr>
      <w:r w:rsidRPr="000834B3">
        <w:rPr>
          <w:rStyle w:val="Appelnotedebasdep"/>
        </w:rPr>
        <w:footnoteRef/>
      </w:r>
      <w:r w:rsidRPr="000834B3">
        <w:rPr>
          <w:lang w:val="fr-BE"/>
        </w:rPr>
        <w:t xml:space="preserve"> </w:t>
      </w:r>
      <w:r w:rsidRPr="000834B3">
        <w:rPr>
          <w:rFonts w:ascii="Calibri" w:hAnsi="Calibri"/>
          <w:szCs w:val="16"/>
          <w:lang w:val="fr-BE"/>
        </w:rPr>
        <w:t>Si le marché prévoit une révision de prix</w:t>
      </w:r>
    </w:p>
  </w:footnote>
  <w:footnote w:id="11">
    <w:p w14:paraId="3844D789" w14:textId="725373B1" w:rsidR="0012737C" w:rsidRPr="00EC3BEF" w:rsidRDefault="0012737C">
      <w:pPr>
        <w:pStyle w:val="Notedebasdepage"/>
        <w:rPr>
          <w:lang w:val="fr-BE"/>
        </w:rPr>
      </w:pPr>
      <w:r w:rsidRPr="00BB4F90">
        <w:rPr>
          <w:rStyle w:val="Appelnotedebasdep"/>
        </w:rPr>
        <w:footnoteRef/>
      </w:r>
      <w:r w:rsidRPr="00BB4F90">
        <w:rPr>
          <w:lang w:val="fr-BE"/>
        </w:rPr>
        <w:t xml:space="preserve"> </w:t>
      </w:r>
      <w:r w:rsidRPr="001638D8">
        <w:rPr>
          <w:rFonts w:ascii="Calibri" w:hAnsi="Calibri"/>
          <w:szCs w:val="16"/>
          <w:highlight w:val="yellow"/>
          <w:lang w:val="fr-BE"/>
        </w:rPr>
        <w:t xml:space="preserve">La CIE demande à </w:t>
      </w:r>
      <w:proofErr w:type="spellStart"/>
      <w:r w:rsidRPr="001638D8">
        <w:rPr>
          <w:rFonts w:ascii="Calibri" w:hAnsi="Calibri"/>
          <w:szCs w:val="16"/>
          <w:highlight w:val="yellow"/>
          <w:lang w:val="fr-BE"/>
        </w:rPr>
        <w:t>Fost</w:t>
      </w:r>
      <w:proofErr w:type="spellEnd"/>
      <w:r w:rsidRPr="001638D8">
        <w:rPr>
          <w:rFonts w:ascii="Calibri" w:hAnsi="Calibri"/>
          <w:szCs w:val="16"/>
          <w:highlight w:val="yellow"/>
          <w:lang w:val="fr-BE"/>
        </w:rPr>
        <w:t xml:space="preserve"> Plus de faire une proposition de texte intermédiaire qui sera d’application jusqu’à ce que le Comité mixte donne son avis positif. Cette proposition devra viser à refuser uniquement les sacs qui contiennent les erreurs de tri les plus problématiques ; il doit s’agir d’erreurs manifestes qui ne sont ne sont pas dues à de l’incertitude liée à l’introduction du nouveau sac bleu.</w:t>
      </w:r>
    </w:p>
  </w:footnote>
  <w:footnote w:id="12">
    <w:p w14:paraId="397C80B3" w14:textId="77777777" w:rsidR="0012737C" w:rsidRPr="0007475C" w:rsidRDefault="0012737C">
      <w:pPr>
        <w:pStyle w:val="Notedebasdepage"/>
        <w:rPr>
          <w:lang w:val="fr-BE"/>
        </w:rPr>
      </w:pPr>
      <w:r>
        <w:rPr>
          <w:rStyle w:val="Appelnotedebasdep"/>
        </w:rPr>
        <w:footnoteRef/>
      </w:r>
      <w:r w:rsidRPr="00084048">
        <w:rPr>
          <w:lang w:val="fr-BE"/>
        </w:rPr>
        <w:t xml:space="preserve"> </w:t>
      </w:r>
      <w:r>
        <w:rPr>
          <w:lang w:val="fr-BE"/>
        </w:rPr>
        <w:t>Sauf si autrement précisé – voir annexe</w:t>
      </w:r>
    </w:p>
  </w:footnote>
  <w:footnote w:id="13">
    <w:p w14:paraId="397C80B4" w14:textId="77777777" w:rsidR="0012737C" w:rsidRPr="007D0C32" w:rsidRDefault="0012737C">
      <w:pPr>
        <w:pStyle w:val="Notedebasdepage"/>
        <w:rPr>
          <w:lang w:val="fr-BE"/>
        </w:rPr>
      </w:pPr>
      <w:r>
        <w:rPr>
          <w:rStyle w:val="Appelnotedebasdep"/>
        </w:rPr>
        <w:footnoteRef/>
      </w:r>
      <w:r>
        <w:rPr>
          <w:lang w:val="fr-FR"/>
        </w:rPr>
        <w:t xml:space="preserve"> Préciser éventuellement les heures de début et de fin par commune. </w:t>
      </w:r>
      <w:r w:rsidRPr="00DC7C65">
        <w:rPr>
          <w:lang w:val="fr-BE"/>
        </w:rPr>
        <w:t xml:space="preserve">En règle générale, les collectes commencent à 7 heures. </w:t>
      </w:r>
      <w:r w:rsidRPr="007D0C32">
        <w:rPr>
          <w:lang w:val="fr-BE"/>
        </w:rPr>
        <w:t>Il peut être dérogé à ce principe pour des raisons de mobilité par exemple</w:t>
      </w:r>
      <w:r>
        <w:rPr>
          <w:lang w:val="fr-BE"/>
        </w:rPr>
        <w:t>.</w:t>
      </w:r>
    </w:p>
  </w:footnote>
  <w:footnote w:id="14">
    <w:p w14:paraId="397C80B5" w14:textId="77777777" w:rsidR="0012737C" w:rsidRPr="005E7422" w:rsidRDefault="0012737C">
      <w:pPr>
        <w:pStyle w:val="Notedebasdepage"/>
        <w:rPr>
          <w:lang w:val="fr-BE"/>
        </w:rPr>
      </w:pPr>
      <w:r>
        <w:rPr>
          <w:rStyle w:val="Appelnotedebasdep"/>
        </w:rPr>
        <w:footnoteRef/>
      </w:r>
      <w:r w:rsidRPr="00D90684">
        <w:rPr>
          <w:lang w:val="fr-BE"/>
        </w:rPr>
        <w:t xml:space="preserve"> </w:t>
      </w:r>
      <w:r>
        <w:rPr>
          <w:lang w:val="fr-BE"/>
        </w:rPr>
        <w:t>Les intercommunales qui disposent d’informations spécifiques concernant des rues ou points difficiles à atteindre, joignent cette information dans le présent cahier des charges (éventuellement en annexe).</w:t>
      </w:r>
    </w:p>
  </w:footnote>
  <w:footnote w:id="15">
    <w:p w14:paraId="157C1E00" w14:textId="5691A8D9" w:rsidR="0012737C" w:rsidRPr="000F5223" w:rsidRDefault="0012737C" w:rsidP="00BC4B0C">
      <w:pPr>
        <w:pStyle w:val="Notedebasdepage"/>
        <w:rPr>
          <w:lang w:val="fr-FR"/>
        </w:rPr>
      </w:pPr>
      <w:r>
        <w:rPr>
          <w:rStyle w:val="Appelnotedebasdep"/>
          <w:rFonts w:ascii="Times New Roman" w:hAnsi="Times New Roman"/>
        </w:rPr>
        <w:footnoteRef/>
      </w:r>
      <w:r>
        <w:rPr>
          <w:lang w:val="fr-BE"/>
        </w:rPr>
        <w:t xml:space="preserve"> Ce passage est uniquement d’application en cas de livraison directe du PMC au centre de tri et non pas en cas d’utilisation d’une station de transfert. </w:t>
      </w:r>
    </w:p>
  </w:footnote>
  <w:footnote w:id="16">
    <w:p w14:paraId="11D51CA8" w14:textId="0B84B817" w:rsidR="0012737C" w:rsidRPr="000F5223" w:rsidRDefault="0012737C" w:rsidP="00BC4B0C">
      <w:pPr>
        <w:pStyle w:val="Notedebasdepage"/>
        <w:rPr>
          <w:lang w:val="fr-FR"/>
        </w:rPr>
      </w:pPr>
      <w:r>
        <w:rPr>
          <w:rStyle w:val="Appelnotedebasdep"/>
          <w:rFonts w:ascii="Times New Roman" w:hAnsi="Times New Roman"/>
        </w:rPr>
        <w:footnoteRef/>
      </w:r>
      <w:r>
        <w:rPr>
          <w:lang w:val="fr-BE"/>
        </w:rPr>
        <w:t xml:space="preserve"> Il s’agit de la distance moyenne pondérée par la route pour la livraison du PMC au lieu de livraison pour toutes les intercommunales en Belgique en 2018. L’Intercommunale et </w:t>
      </w:r>
      <w:proofErr w:type="spellStart"/>
      <w:r>
        <w:rPr>
          <w:lang w:val="fr-BE"/>
        </w:rPr>
        <w:t>Fost</w:t>
      </w:r>
      <w:proofErr w:type="spellEnd"/>
      <w:r>
        <w:rPr>
          <w:lang w:val="fr-BE"/>
        </w:rPr>
        <w:t xml:space="preserve"> Plus peuvent cependant décider d’utiliser une autre distance pour l’évaluation du critère « prix » des offres, par exemple la distance réelle parcourue jusqu’à l’acquéreur actuel, la distance moyenne de tous les lieux de livraison connus et situés dans un rayon de 30 km au départ du point central de </w:t>
      </w:r>
      <w:proofErr w:type="gramStart"/>
      <w:r>
        <w:rPr>
          <w:lang w:val="fr-BE"/>
        </w:rPr>
        <w:t>l’intercommunale,…</w:t>
      </w:r>
      <w:proofErr w:type="gramEnd"/>
    </w:p>
  </w:footnote>
  <w:footnote w:id="17">
    <w:p w14:paraId="0F7F845A" w14:textId="77777777" w:rsidR="0012737C" w:rsidRPr="000F5223" w:rsidRDefault="0012737C" w:rsidP="003A04D1">
      <w:pPr>
        <w:pStyle w:val="Notedebasdepage"/>
        <w:rPr>
          <w:lang w:val="fr-FR"/>
        </w:rPr>
      </w:pPr>
      <w:r>
        <w:rPr>
          <w:rStyle w:val="Appelnotedebasdep"/>
          <w:rFonts w:ascii="Times New Roman" w:hAnsi="Times New Roman"/>
        </w:rPr>
        <w:footnoteRef/>
      </w:r>
      <w:r>
        <w:rPr>
          <w:lang w:val="fr-BE"/>
        </w:rPr>
        <w:t xml:space="preserve"> Ce passage est uniquement d’application en cas de livraison directe du PMC au centre de tri et non pas en cas d’utilisation d’une station de transfert. </w:t>
      </w:r>
    </w:p>
  </w:footnote>
  <w:footnote w:id="18">
    <w:p w14:paraId="2A052526" w14:textId="77777777" w:rsidR="0012737C" w:rsidRPr="000F5223" w:rsidRDefault="0012737C" w:rsidP="003A04D1">
      <w:pPr>
        <w:pStyle w:val="Notedebasdepage"/>
        <w:rPr>
          <w:lang w:val="fr-FR"/>
        </w:rPr>
      </w:pPr>
      <w:r>
        <w:rPr>
          <w:rStyle w:val="Appelnotedebasdep"/>
          <w:rFonts w:ascii="Times New Roman" w:hAnsi="Times New Roman"/>
        </w:rPr>
        <w:footnoteRef/>
      </w:r>
      <w:r>
        <w:rPr>
          <w:lang w:val="fr-BE"/>
        </w:rPr>
        <w:t xml:space="preserve"> Il s’agit de la distance moyenne pondérée par la route pour la livraison du PMC au lieu de livraison pour toutes les intercommunales en Belgique en 2018. L’Intercommunale et </w:t>
      </w:r>
      <w:proofErr w:type="spellStart"/>
      <w:r>
        <w:rPr>
          <w:lang w:val="fr-BE"/>
        </w:rPr>
        <w:t>Fost</w:t>
      </w:r>
      <w:proofErr w:type="spellEnd"/>
      <w:r>
        <w:rPr>
          <w:lang w:val="fr-BE"/>
        </w:rPr>
        <w:t xml:space="preserve"> Plus peuvent cependant décider d’utiliser une autre distance pour l’évaluation du critère « prix » des offres, par exemple la distance réelle parcourue jusqu’à l’acquéreur actuel, la distance moyenne de tous les lieux de livraison connus et situés dans un rayon de 30 km au départ du point central de </w:t>
      </w:r>
      <w:proofErr w:type="gramStart"/>
      <w:r>
        <w:rPr>
          <w:lang w:val="fr-BE"/>
        </w:rPr>
        <w:t>l’intercommunale,…</w:t>
      </w:r>
      <w:proofErr w:type="gramEnd"/>
    </w:p>
  </w:footnote>
  <w:footnote w:id="19">
    <w:p w14:paraId="335369DB" w14:textId="664683AE" w:rsidR="0012737C" w:rsidRPr="004C6BB3" w:rsidRDefault="0012737C">
      <w:pPr>
        <w:pStyle w:val="Notedebasdepage"/>
        <w:rPr>
          <w:lang w:val="fr-FR"/>
        </w:rPr>
      </w:pPr>
      <w:r>
        <w:rPr>
          <w:rStyle w:val="Appelnotedebasdep"/>
        </w:rPr>
        <w:footnoteRef/>
      </w:r>
      <w:r w:rsidRPr="004C6BB3">
        <w:rPr>
          <w:lang w:val="fr-BE"/>
        </w:rPr>
        <w:t xml:space="preserve"> </w:t>
      </w:r>
      <w:r w:rsidRPr="0089127D">
        <w:rPr>
          <w:rFonts w:ascii="Calibri" w:hAnsi="Calibri"/>
          <w:szCs w:val="16"/>
          <w:highlight w:val="yellow"/>
          <w:lang w:val="fr-BE"/>
        </w:rPr>
        <w:t xml:space="preserve">La CIE demande à </w:t>
      </w:r>
      <w:proofErr w:type="spellStart"/>
      <w:r w:rsidRPr="0089127D">
        <w:rPr>
          <w:rFonts w:ascii="Calibri" w:hAnsi="Calibri"/>
          <w:szCs w:val="16"/>
          <w:highlight w:val="yellow"/>
          <w:lang w:val="fr-BE"/>
        </w:rPr>
        <w:t>Fost</w:t>
      </w:r>
      <w:proofErr w:type="spellEnd"/>
      <w:r w:rsidRPr="0089127D">
        <w:rPr>
          <w:rFonts w:ascii="Calibri" w:hAnsi="Calibri"/>
          <w:szCs w:val="16"/>
          <w:highlight w:val="yellow"/>
          <w:lang w:val="fr-BE"/>
        </w:rPr>
        <w:t xml:space="preserve"> Plus de faire une proposition de texte intermédiaire qui sera d’application jusqu’à ce que le Comité mixte donne son avis positif. Cette proposition devra viser à refuser uniquement les sacs qui contiennent les erreurs de tri les plus problématiques ; il doit s’agir d’erreurs manifestes qui ne sont ne sont pas dues à de l’incertitude liée à l’introduction du nouveau sac bleu.</w:t>
      </w:r>
    </w:p>
  </w:footnote>
  <w:footnote w:id="20">
    <w:p w14:paraId="07C36623" w14:textId="7BB0ECB9" w:rsidR="0012737C" w:rsidRPr="00AF434C" w:rsidRDefault="0012737C">
      <w:pPr>
        <w:pStyle w:val="Notedebasdepage"/>
        <w:rPr>
          <w:lang w:val="fr-FR"/>
        </w:rPr>
      </w:pPr>
      <w:r w:rsidRPr="008E50E3">
        <w:rPr>
          <w:rStyle w:val="Appelnotedebasdep"/>
          <w:rFonts w:ascii="Calibri" w:hAnsi="Calibri"/>
          <w:szCs w:val="16"/>
        </w:rPr>
        <w:footnoteRef/>
      </w:r>
      <w:r w:rsidRPr="00AF434C">
        <w:rPr>
          <w:lang w:val="fr-BE"/>
        </w:rPr>
        <w:t xml:space="preserve"> </w:t>
      </w:r>
      <w:r w:rsidRPr="00E00E32">
        <w:rPr>
          <w:rFonts w:ascii="Calibri" w:hAnsi="Calibri" w:cs="Arial"/>
          <w:szCs w:val="16"/>
          <w:lang w:val="fr-FR"/>
        </w:rPr>
        <w:t>Biffer la mention inutile</w:t>
      </w:r>
    </w:p>
  </w:footnote>
  <w:footnote w:id="21">
    <w:p w14:paraId="74F276F5" w14:textId="77777777" w:rsidR="0012737C" w:rsidRPr="00E00E32" w:rsidRDefault="0012737C" w:rsidP="001617B2">
      <w:pPr>
        <w:pStyle w:val="Notedebasdepage"/>
        <w:ind w:left="142" w:hanging="142"/>
        <w:jc w:val="both"/>
        <w:rPr>
          <w:rFonts w:ascii="Calibri" w:hAnsi="Calibri" w:cs="Arial"/>
          <w:szCs w:val="16"/>
          <w:lang w:val="fr-FR"/>
        </w:rPr>
      </w:pPr>
      <w:r w:rsidRPr="00ED5E93">
        <w:rPr>
          <w:rStyle w:val="Appelnotedebasdep"/>
          <w:rFonts w:ascii="Calibri" w:hAnsi="Calibri"/>
          <w:szCs w:val="16"/>
        </w:rPr>
        <w:footnoteRef/>
      </w:r>
      <w:r w:rsidRPr="00E00E32">
        <w:rPr>
          <w:rFonts w:ascii="Calibri" w:hAnsi="Calibri"/>
          <w:szCs w:val="16"/>
          <w:lang w:val="fr-FR"/>
        </w:rPr>
        <w:t xml:space="preserve"> </w:t>
      </w:r>
      <w:r w:rsidRPr="00E00E32">
        <w:rPr>
          <w:rFonts w:ascii="Calibri" w:hAnsi="Calibri" w:cs="Arial"/>
          <w:szCs w:val="16"/>
          <w:lang w:val="fr-FR"/>
        </w:rPr>
        <w:t>Biffer la mention inutile</w:t>
      </w:r>
    </w:p>
  </w:footnote>
  <w:footnote w:id="22">
    <w:p w14:paraId="14CA8C84" w14:textId="77777777" w:rsidR="0012737C" w:rsidRPr="00DB5278" w:rsidRDefault="0012737C" w:rsidP="001617B2">
      <w:pPr>
        <w:pStyle w:val="Notedebasdepage"/>
        <w:rPr>
          <w:lang w:val="fr-FR"/>
        </w:rPr>
      </w:pPr>
      <w:r w:rsidRPr="00DB5278">
        <w:rPr>
          <w:rStyle w:val="Appelnotedebasdep"/>
          <w:rFonts w:ascii="Calibri" w:hAnsi="Calibri" w:cs="Arial"/>
          <w:szCs w:val="16"/>
        </w:rPr>
        <w:footnoteRef/>
      </w:r>
      <w:r w:rsidRPr="00E00E32">
        <w:rPr>
          <w:rStyle w:val="Appelnotedebasdep"/>
          <w:rFonts w:ascii="Calibri" w:hAnsi="Calibri" w:cs="Arial"/>
          <w:szCs w:val="16"/>
          <w:lang w:val="fr-FR"/>
        </w:rPr>
        <w:t xml:space="preserve"> </w:t>
      </w:r>
      <w:r w:rsidRPr="00E00E32">
        <w:rPr>
          <w:rFonts w:ascii="Calibri" w:hAnsi="Calibri" w:cs="Arial"/>
          <w:szCs w:val="16"/>
          <w:lang w:val="fr-FR"/>
        </w:rPr>
        <w:t>A adapter si le marché prévoit plusieurs lots</w:t>
      </w:r>
    </w:p>
  </w:footnote>
  <w:footnote w:id="23">
    <w:p w14:paraId="7C575C23" w14:textId="2DB3D73C" w:rsidR="0012737C" w:rsidRPr="000F5223" w:rsidRDefault="0012737C" w:rsidP="00362ED8">
      <w:pPr>
        <w:pStyle w:val="Notedebasdepage"/>
        <w:rPr>
          <w:lang w:val="fr-FR"/>
        </w:rPr>
      </w:pPr>
      <w:r>
        <w:rPr>
          <w:rStyle w:val="Appelnotedebasdep"/>
          <w:rFonts w:ascii="Times New Roman" w:hAnsi="Times New Roman"/>
        </w:rPr>
        <w:footnoteRef/>
      </w:r>
      <w:r>
        <w:rPr>
          <w:lang w:val="fr-BE"/>
        </w:rPr>
        <w:t xml:space="preserve"> L’Intercommunale et </w:t>
      </w:r>
      <w:proofErr w:type="spellStart"/>
      <w:r>
        <w:rPr>
          <w:lang w:val="fr-BE"/>
        </w:rPr>
        <w:t>Fost</w:t>
      </w:r>
      <w:proofErr w:type="spellEnd"/>
      <w:r>
        <w:rPr>
          <w:lang w:val="fr-BE"/>
        </w:rPr>
        <w:t xml:space="preserve"> Plus peuvent cependant décider d’utiliser une autre distance pour l’évaluation du critère « prix » des offres, par exemple la distance réelle parcourue jusqu’à l’acquéreur actuel, la distance moyenne de tous les lieux de livraison connus et situés dans un rayon de 30 km au départ du point central de l’intercommunale, … </w:t>
      </w:r>
      <w:proofErr w:type="gramStart"/>
      <w:r>
        <w:rPr>
          <w:lang w:val="fr-BE"/>
        </w:rPr>
        <w:t>( art</w:t>
      </w:r>
      <w:proofErr w:type="gramEnd"/>
      <w:r>
        <w:rPr>
          <w:lang w:val="fr-BE"/>
        </w:rPr>
        <w:t xml:space="preserve"> 21.1).</w:t>
      </w:r>
    </w:p>
  </w:footnote>
  <w:footnote w:id="24">
    <w:p w14:paraId="4C0F78D5" w14:textId="6B96A394" w:rsidR="0012737C" w:rsidRPr="000F5223" w:rsidRDefault="0012737C" w:rsidP="00FC2706">
      <w:pPr>
        <w:pStyle w:val="Notedebasdepage"/>
        <w:rPr>
          <w:lang w:val="fr-FR"/>
        </w:rPr>
      </w:pPr>
      <w:r>
        <w:rPr>
          <w:rStyle w:val="Appelnotedebasdep"/>
          <w:rFonts w:ascii="Times New Roman" w:hAnsi="Times New Roman"/>
        </w:rPr>
        <w:footnoteRef/>
      </w:r>
      <w:r>
        <w:rPr>
          <w:lang w:val="fr-BE"/>
        </w:rPr>
        <w:t xml:space="preserve"> L’Intercommunale et </w:t>
      </w:r>
      <w:proofErr w:type="spellStart"/>
      <w:r>
        <w:rPr>
          <w:lang w:val="fr-BE"/>
        </w:rPr>
        <w:t>Fost</w:t>
      </w:r>
      <w:proofErr w:type="spellEnd"/>
      <w:r>
        <w:rPr>
          <w:lang w:val="fr-BE"/>
        </w:rPr>
        <w:t xml:space="preserve"> Plus peuvent cependant décider d’utiliser une autre distance pour l’évaluation du critère « prix » des offres, par exemple la distance réelle parcourue jusqu’à l’acquéreur actuel, la distance moyenne de tous les lieux de livraison connus et situés dans un rayon de 30 km au départ du point central de l’intercommunale, … </w:t>
      </w:r>
      <w:proofErr w:type="gramStart"/>
      <w:r>
        <w:rPr>
          <w:lang w:val="fr-BE"/>
        </w:rPr>
        <w:t>( art</w:t>
      </w:r>
      <w:proofErr w:type="gramEnd"/>
      <w:r>
        <w:rPr>
          <w:lang w:val="fr-BE"/>
        </w:rPr>
        <w:t xml:space="preserve"> 21.1).</w:t>
      </w:r>
    </w:p>
  </w:footnote>
  <w:footnote w:id="25">
    <w:p w14:paraId="7C7AFC63" w14:textId="54D03AC8" w:rsidR="0012737C" w:rsidRPr="00C940A4" w:rsidRDefault="0012737C" w:rsidP="00C940A4">
      <w:pPr>
        <w:pStyle w:val="Notedebasdepage"/>
        <w:rPr>
          <w:lang w:val="fr-BE"/>
        </w:rPr>
      </w:pPr>
      <w:r>
        <w:rPr>
          <w:rStyle w:val="Appelnotedebasdep"/>
        </w:rPr>
        <w:footnoteRef/>
      </w:r>
      <w:r w:rsidRPr="00C940A4">
        <w:rPr>
          <w:lang w:val="fr-BE"/>
        </w:rPr>
        <w:t xml:space="preserve"> L</w:t>
      </w:r>
      <w:r>
        <w:rPr>
          <w:lang w:val="fr-BE"/>
        </w:rPr>
        <w:t>’inventaire de chaque lot peut ê</w:t>
      </w:r>
      <w:r w:rsidRPr="00C940A4">
        <w:rPr>
          <w:lang w:val="fr-BE"/>
        </w:rPr>
        <w:t>tre également repris.</w:t>
      </w:r>
    </w:p>
  </w:footnote>
  <w:footnote w:id="26">
    <w:p w14:paraId="53890F31" w14:textId="54F1D3BB" w:rsidR="0012737C" w:rsidRPr="004C6BB3" w:rsidRDefault="0012737C">
      <w:pPr>
        <w:pStyle w:val="Notedebasdepage"/>
        <w:rPr>
          <w:lang w:val="fr-BE"/>
        </w:rPr>
      </w:pPr>
      <w:r>
        <w:rPr>
          <w:rStyle w:val="Appelnotedebasdep"/>
        </w:rPr>
        <w:footnoteRef/>
      </w:r>
      <w:r w:rsidRPr="004C6BB3">
        <w:rPr>
          <w:lang w:val="fr-BE"/>
        </w:rPr>
        <w:t xml:space="preserve"> </w:t>
      </w:r>
      <w:r w:rsidRPr="0089127D">
        <w:rPr>
          <w:rFonts w:ascii="Calibri" w:hAnsi="Calibri"/>
          <w:szCs w:val="16"/>
          <w:highlight w:val="yellow"/>
          <w:lang w:val="fr-BE"/>
        </w:rPr>
        <w:t xml:space="preserve">La CIE demande à </w:t>
      </w:r>
      <w:proofErr w:type="spellStart"/>
      <w:r w:rsidRPr="0089127D">
        <w:rPr>
          <w:rFonts w:ascii="Calibri" w:hAnsi="Calibri"/>
          <w:szCs w:val="16"/>
          <w:highlight w:val="yellow"/>
          <w:lang w:val="fr-BE"/>
        </w:rPr>
        <w:t>Fost</w:t>
      </w:r>
      <w:proofErr w:type="spellEnd"/>
      <w:r w:rsidRPr="0089127D">
        <w:rPr>
          <w:rFonts w:ascii="Calibri" w:hAnsi="Calibri"/>
          <w:szCs w:val="16"/>
          <w:highlight w:val="yellow"/>
          <w:lang w:val="fr-BE"/>
        </w:rPr>
        <w:t xml:space="preserve"> Plus de faire une proposition de texte intermédiaire qui sera d’application jusqu’à ce que le Comité mixte donne son avis positif. Cette proposition devra viser à refuser uniquement les sacs qui contiennent les erreurs de tri les plus problématiques ; il doit s’agir d’erreurs manifestes qui ne sont ne sont pas </w:t>
      </w:r>
      <w:r w:rsidR="004737F6" w:rsidRPr="0089127D">
        <w:rPr>
          <w:rFonts w:ascii="Calibri" w:hAnsi="Calibri"/>
          <w:szCs w:val="16"/>
          <w:highlight w:val="yellow"/>
          <w:lang w:val="fr-BE"/>
        </w:rPr>
        <w:t>dues</w:t>
      </w:r>
      <w:r w:rsidRPr="0089127D">
        <w:rPr>
          <w:rFonts w:ascii="Calibri" w:hAnsi="Calibri"/>
          <w:szCs w:val="16"/>
          <w:highlight w:val="yellow"/>
          <w:lang w:val="fr-BE"/>
        </w:rPr>
        <w:t xml:space="preserve"> à de l’incertitude liée à l’introduction du nouveau sac bleu.</w:t>
      </w:r>
    </w:p>
  </w:footnote>
  <w:footnote w:id="27">
    <w:p w14:paraId="397C80B8" w14:textId="77777777" w:rsidR="0012737C" w:rsidRPr="002972E8" w:rsidRDefault="0012737C">
      <w:pPr>
        <w:pStyle w:val="Notedebasdepage"/>
        <w:rPr>
          <w:lang w:val="fr-BE"/>
        </w:rPr>
      </w:pPr>
      <w:r>
        <w:rPr>
          <w:rStyle w:val="Appelnotedebasdep"/>
        </w:rPr>
        <w:footnoteRef/>
      </w:r>
      <w:r w:rsidRPr="00BD39E1">
        <w:rPr>
          <w:lang w:val="fr-BE"/>
        </w:rPr>
        <w:t xml:space="preserve"> </w:t>
      </w:r>
      <w:r>
        <w:rPr>
          <w:lang w:val="fr-BE"/>
        </w:rPr>
        <w:t>A adapter par le pouvoir adjudicateur en fonction du contenu du présent cahier des charges.</w:t>
      </w:r>
    </w:p>
  </w:footnote>
  <w:footnote w:id="28">
    <w:p w14:paraId="1229EAC0" w14:textId="78C98F41" w:rsidR="0012737C" w:rsidRPr="00820587" w:rsidRDefault="0012737C" w:rsidP="00820587">
      <w:pPr>
        <w:pStyle w:val="Notedebasdepage"/>
        <w:rPr>
          <w:lang w:val="fr-BE"/>
        </w:rPr>
      </w:pPr>
      <w:r w:rsidRPr="001B065C">
        <w:rPr>
          <w:rStyle w:val="Appelnotedebasdep"/>
        </w:rPr>
        <w:footnoteRef/>
      </w:r>
      <w:r w:rsidRPr="001B065C">
        <w:rPr>
          <w:lang w:val="fr-BE"/>
        </w:rPr>
        <w:t xml:space="preserve"> Si des heures / jours d'ouverture supplémentaires sont nécessaires (par exemple en raison d'un jour de rattrapage, etc.), l’intercommunale doit l'indiquer de manière explicite et détaillée dans le cahier des charges.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80A1" w14:textId="6E91B24B" w:rsidR="0012737C" w:rsidRPr="00055460" w:rsidRDefault="0012737C" w:rsidP="00055460">
    <w:pPr>
      <w:jc w:val="center"/>
      <w:rPr>
        <w:lang w:val="fr-BE"/>
      </w:rPr>
    </w:pPr>
    <w:r w:rsidRPr="00714F5C">
      <w:rPr>
        <w:sz w:val="16"/>
        <w:highlight w:val="yellow"/>
        <w:lang w:val="fr-BE"/>
      </w:rPr>
      <w:t>Cahier de charges ty</w:t>
    </w:r>
    <w:r>
      <w:rPr>
        <w:sz w:val="16"/>
        <w:highlight w:val="yellow"/>
        <w:lang w:val="fr-BE"/>
      </w:rPr>
      <w:t xml:space="preserve">pe pour la collecte du PMC </w:t>
    </w:r>
    <w:r w:rsidRPr="00714F5C">
      <w:rPr>
        <w:sz w:val="16"/>
        <w:highlight w:val="yellow"/>
        <w:lang w:val="fr-BE"/>
      </w:rPr>
      <w:t>2020</w:t>
    </w:r>
    <w:r>
      <w:rPr>
        <w:sz w:val="16"/>
        <w:highlight w:val="yellow"/>
        <w:lang w:val="fr-BE"/>
      </w:rPr>
      <w:t xml:space="preserve"> - </w:t>
    </w:r>
    <w:r w:rsidRPr="00714F5C">
      <w:rPr>
        <w:sz w:val="16"/>
        <w:highlight w:val="yellow"/>
        <w:lang w:val="fr-BE"/>
      </w:rPr>
      <w:t>CIE</w:t>
    </w:r>
    <w:r>
      <w:rPr>
        <w:sz w:val="16"/>
        <w:lang w:val="fr-B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56590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9C6514"/>
    <w:multiLevelType w:val="multilevel"/>
    <w:tmpl w:val="D9B224E0"/>
    <w:lvl w:ilvl="0">
      <w:start w:val="1"/>
      <w:numFmt w:val="bullet"/>
      <w:pStyle w:val="Listepuces"/>
      <w:lvlText w:val=""/>
      <w:lvlJc w:val="left"/>
      <w:pPr>
        <w:tabs>
          <w:tab w:val="num" w:pos="928"/>
        </w:tabs>
        <w:ind w:left="767" w:hanging="199"/>
      </w:pPr>
      <w:rPr>
        <w:rFonts w:ascii="Symbol" w:hAnsi="Symbol" w:hint="default"/>
        <w:b w:val="0"/>
        <w:i w:val="0"/>
        <w:spacing w:val="0"/>
        <w:position w:val="0"/>
        <w:sz w:val="16"/>
      </w:rPr>
    </w:lvl>
    <w:lvl w:ilvl="1">
      <w:start w:val="1"/>
      <w:numFmt w:val="bullet"/>
      <w:pStyle w:val="Listepuces2"/>
      <w:lvlText w:val=""/>
      <w:lvlJc w:val="left"/>
      <w:pPr>
        <w:tabs>
          <w:tab w:val="num" w:pos="758"/>
        </w:tabs>
        <w:ind w:left="624" w:hanging="226"/>
      </w:pPr>
      <w:rPr>
        <w:rFonts w:ascii="Symbol" w:hAnsi="Symbol" w:hint="default"/>
        <w:b w:val="0"/>
        <w:i w:val="0"/>
        <w:position w:val="1"/>
        <w:sz w:val="20"/>
      </w:rPr>
    </w:lvl>
    <w:lvl w:ilvl="2">
      <w:start w:val="1"/>
      <w:numFmt w:val="bullet"/>
      <w:pStyle w:val="Listepuces3"/>
      <w:lvlText w:val=""/>
      <w:lvlJc w:val="left"/>
      <w:pPr>
        <w:tabs>
          <w:tab w:val="num" w:pos="984"/>
        </w:tabs>
        <w:ind w:left="766" w:hanging="142"/>
      </w:pPr>
      <w:rPr>
        <w:rFonts w:ascii="Symbol" w:hAnsi="Symbol" w:hint="default"/>
        <w:b w:val="0"/>
        <w:i w:val="0"/>
        <w:position w:val="2"/>
        <w:sz w:val="20"/>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 w15:restartNumberingAfterBreak="0">
    <w:nsid w:val="085A11CE"/>
    <w:multiLevelType w:val="hybridMultilevel"/>
    <w:tmpl w:val="2AF418C4"/>
    <w:lvl w:ilvl="0" w:tplc="D9647E20">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89D2A30"/>
    <w:multiLevelType w:val="multilevel"/>
    <w:tmpl w:val="7762584A"/>
    <w:lvl w:ilvl="0">
      <w:start w:val="1"/>
      <w:numFmt w:val="bullet"/>
      <w:lvlText w:val=""/>
      <w:lvlJc w:val="left"/>
      <w:pPr>
        <w:ind w:left="360" w:hanging="360"/>
      </w:pPr>
      <w:rPr>
        <w:rFonts w:ascii="Symbol" w:hAnsi="Symbol" w:cs="Times New Roman" w:hint="default"/>
      </w:rPr>
    </w:lvl>
    <w:lvl w:ilvl="1">
      <w:start w:val="1"/>
      <w:numFmt w:val="decimal"/>
      <w:lvlText w:val="%1.%2."/>
      <w:lvlJc w:val="left"/>
      <w:pPr>
        <w:ind w:left="919" w:hanging="720"/>
      </w:pPr>
      <w:rPr>
        <w:rFonts w:hint="default"/>
      </w:rPr>
    </w:lvl>
    <w:lvl w:ilvl="2">
      <w:start w:val="1"/>
      <w:numFmt w:val="decimal"/>
      <w:lvlText w:val="%1.%2.%3."/>
      <w:lvlJc w:val="left"/>
      <w:pPr>
        <w:ind w:left="1118" w:hanging="720"/>
      </w:pPr>
      <w:rPr>
        <w:rFonts w:hint="default"/>
      </w:rPr>
    </w:lvl>
    <w:lvl w:ilvl="3">
      <w:start w:val="1"/>
      <w:numFmt w:val="decimal"/>
      <w:lvlText w:val="%1.%2.%3.%4."/>
      <w:lvlJc w:val="left"/>
      <w:pPr>
        <w:ind w:left="1677" w:hanging="108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435" w:hanging="1440"/>
      </w:pPr>
      <w:rPr>
        <w:rFonts w:hint="default"/>
      </w:rPr>
    </w:lvl>
    <w:lvl w:ilvl="6">
      <w:start w:val="1"/>
      <w:numFmt w:val="decimal"/>
      <w:lvlText w:val="%1.%2.%3.%4.%5.%6.%7."/>
      <w:lvlJc w:val="left"/>
      <w:pPr>
        <w:ind w:left="2994" w:hanging="1800"/>
      </w:pPr>
      <w:rPr>
        <w:rFonts w:hint="default"/>
      </w:rPr>
    </w:lvl>
    <w:lvl w:ilvl="7">
      <w:start w:val="1"/>
      <w:numFmt w:val="decimal"/>
      <w:lvlText w:val="%1.%2.%3.%4.%5.%6.%7.%8."/>
      <w:lvlJc w:val="left"/>
      <w:pPr>
        <w:ind w:left="3193" w:hanging="1800"/>
      </w:pPr>
      <w:rPr>
        <w:rFonts w:hint="default"/>
      </w:rPr>
    </w:lvl>
    <w:lvl w:ilvl="8">
      <w:start w:val="1"/>
      <w:numFmt w:val="decimal"/>
      <w:lvlText w:val="%1.%2.%3.%4.%5.%6.%7.%8.%9."/>
      <w:lvlJc w:val="left"/>
      <w:pPr>
        <w:ind w:left="3752" w:hanging="2160"/>
      </w:pPr>
      <w:rPr>
        <w:rFonts w:hint="default"/>
      </w:rPr>
    </w:lvl>
  </w:abstractNum>
  <w:abstractNum w:abstractNumId="4" w15:restartNumberingAfterBreak="0">
    <w:nsid w:val="09CC081A"/>
    <w:multiLevelType w:val="multilevel"/>
    <w:tmpl w:val="979481FA"/>
    <w:lvl w:ilvl="0">
      <w:start w:val="1"/>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6" w15:restartNumberingAfterBreak="0">
    <w:nsid w:val="0DDD7A11"/>
    <w:multiLevelType w:val="multilevel"/>
    <w:tmpl w:val="0E0E8AAA"/>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E41019D"/>
    <w:multiLevelType w:val="hybridMultilevel"/>
    <w:tmpl w:val="4172351A"/>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8" w15:restartNumberingAfterBreak="0">
    <w:nsid w:val="0EE92950"/>
    <w:multiLevelType w:val="hybridMultilevel"/>
    <w:tmpl w:val="D834EC7A"/>
    <w:lvl w:ilvl="0" w:tplc="B0F2C1D8">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0442DB6"/>
    <w:multiLevelType w:val="multilevel"/>
    <w:tmpl w:val="C206FD0E"/>
    <w:lvl w:ilvl="0">
      <w:start w:val="1"/>
      <w:numFmt w:val="bullet"/>
      <w:lvlText w:val=""/>
      <w:lvlJc w:val="left"/>
      <w:pPr>
        <w:tabs>
          <w:tab w:val="num" w:pos="360"/>
        </w:tabs>
        <w:ind w:left="360" w:hanging="360"/>
      </w:pPr>
      <w:rPr>
        <w:rFonts w:ascii="Symbol" w:hAnsi="Symbol" w:hint="default"/>
        <w:b w:val="0"/>
        <w:i w:val="0"/>
        <w:spacing w:val="0"/>
        <w:position w:val="0"/>
        <w:sz w:val="16"/>
      </w:rPr>
    </w:lvl>
    <w:lvl w:ilvl="1">
      <w:start w:val="1"/>
      <w:numFmt w:val="bullet"/>
      <w:lvlText w:val=""/>
      <w:lvlJc w:val="left"/>
      <w:pPr>
        <w:tabs>
          <w:tab w:val="num" w:pos="559"/>
        </w:tabs>
        <w:ind w:left="425" w:hanging="226"/>
      </w:pPr>
      <w:rPr>
        <w:rFonts w:ascii="Symbol" w:hAnsi="Symbol" w:hint="default"/>
        <w:b w:val="0"/>
        <w:i w:val="0"/>
        <w:position w:val="1"/>
        <w:sz w:val="20"/>
      </w:rPr>
    </w:lvl>
    <w:lvl w:ilvl="2">
      <w:start w:val="1"/>
      <w:numFmt w:val="bullet"/>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0" w15:restartNumberingAfterBreak="0">
    <w:nsid w:val="13710EDD"/>
    <w:multiLevelType w:val="hybridMultilevel"/>
    <w:tmpl w:val="8ECCB97E"/>
    <w:lvl w:ilvl="0" w:tplc="31CA8D4E">
      <w:numFmt w:val="bullet"/>
      <w:lvlText w:val="-"/>
      <w:lvlJc w:val="left"/>
      <w:pPr>
        <w:ind w:left="720" w:hanging="360"/>
      </w:pPr>
      <w:rPr>
        <w:rFonts w:ascii="Verdana" w:eastAsiaTheme="minorHAnsi" w:hAnsi="Verdan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51706D"/>
    <w:multiLevelType w:val="hybridMultilevel"/>
    <w:tmpl w:val="8F1A407A"/>
    <w:lvl w:ilvl="0" w:tplc="B0F2C1D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9EF2D71"/>
    <w:multiLevelType w:val="hybridMultilevel"/>
    <w:tmpl w:val="1B90D7B4"/>
    <w:lvl w:ilvl="0" w:tplc="91D62BC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C4F49C5"/>
    <w:multiLevelType w:val="hybridMultilevel"/>
    <w:tmpl w:val="BB425A8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4" w15:restartNumberingAfterBreak="0">
    <w:nsid w:val="1F203ECD"/>
    <w:multiLevelType w:val="hybridMultilevel"/>
    <w:tmpl w:val="7E701DFE"/>
    <w:lvl w:ilvl="0" w:tplc="080C0003">
      <w:start w:val="1"/>
      <w:numFmt w:val="bullet"/>
      <w:lvlText w:val="o"/>
      <w:lvlJc w:val="left"/>
      <w:pPr>
        <w:ind w:left="1068" w:hanging="360"/>
      </w:pPr>
      <w:rPr>
        <w:rFonts w:ascii="Courier New" w:hAnsi="Courier New" w:cs="Courier New" w:hint="default"/>
      </w:rPr>
    </w:lvl>
    <w:lvl w:ilvl="1" w:tplc="B0F2C1D8">
      <w:numFmt w:val="bullet"/>
      <w:lvlText w:val="-"/>
      <w:lvlJc w:val="left"/>
      <w:pPr>
        <w:ind w:left="1788" w:hanging="360"/>
      </w:pPr>
      <w:rPr>
        <w:rFonts w:ascii="Verdana" w:eastAsia="Times New Roman" w:hAnsi="Verdana" w:cs="Times New Roman"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1F453A6"/>
    <w:multiLevelType w:val="multilevel"/>
    <w:tmpl w:val="A4524CA2"/>
    <w:lvl w:ilvl="0">
      <w:start w:val="2"/>
      <w:numFmt w:val="decimal"/>
      <w:lvlText w:val="%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6362170"/>
    <w:multiLevelType w:val="multilevel"/>
    <w:tmpl w:val="E6FAA5E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B6C01D5"/>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3EC27EF"/>
    <w:multiLevelType w:val="hybridMultilevel"/>
    <w:tmpl w:val="4EDA779C"/>
    <w:lvl w:ilvl="0" w:tplc="FBF21FEC">
      <w:start w:val="1"/>
      <w:numFmt w:val="decimal"/>
      <w:lvlText w:val="%1"/>
      <w:lvlJc w:val="left"/>
      <w:pPr>
        <w:tabs>
          <w:tab w:val="num" w:pos="360"/>
        </w:tabs>
        <w:ind w:left="360" w:hanging="360"/>
      </w:pPr>
      <w:rPr>
        <w:rFonts w:ascii="Verdana" w:hAnsi="Verdana" w:hint="default"/>
        <w:sz w:val="18"/>
        <w:vertAlign w:val="superscrip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4B83D16"/>
    <w:multiLevelType w:val="multilevel"/>
    <w:tmpl w:val="4E22CA8E"/>
    <w:lvl w:ilvl="0">
      <w:numFmt w:val="bullet"/>
      <w:lvlText w:val="-"/>
      <w:lvlJc w:val="left"/>
      <w:pPr>
        <w:tabs>
          <w:tab w:val="num" w:pos="4045"/>
        </w:tabs>
        <w:ind w:left="3884" w:hanging="199"/>
      </w:pPr>
      <w:rPr>
        <w:rFonts w:ascii="Verdana" w:eastAsia="Times New Roman" w:hAnsi="Verdana" w:cs="Times New Roman" w:hint="default"/>
        <w:b w:val="0"/>
        <w:i w:val="0"/>
        <w:spacing w:val="0"/>
        <w:position w:val="0"/>
        <w:sz w:val="16"/>
      </w:rPr>
    </w:lvl>
    <w:lvl w:ilvl="1">
      <w:start w:val="1"/>
      <w:numFmt w:val="bullet"/>
      <w:lvlText w:val=""/>
      <w:lvlJc w:val="left"/>
      <w:pPr>
        <w:tabs>
          <w:tab w:val="num" w:pos="758"/>
        </w:tabs>
        <w:ind w:left="624" w:hanging="226"/>
      </w:pPr>
      <w:rPr>
        <w:rFonts w:ascii="Symbol" w:hAnsi="Symbol" w:hint="default"/>
        <w:b w:val="0"/>
        <w:i w:val="0"/>
        <w:position w:val="1"/>
        <w:sz w:val="20"/>
      </w:rPr>
    </w:lvl>
    <w:lvl w:ilvl="2">
      <w:start w:val="1"/>
      <w:numFmt w:val="bullet"/>
      <w:lvlText w:val=""/>
      <w:lvlJc w:val="left"/>
      <w:pPr>
        <w:tabs>
          <w:tab w:val="num" w:pos="984"/>
        </w:tabs>
        <w:ind w:left="766" w:hanging="142"/>
      </w:pPr>
      <w:rPr>
        <w:rFonts w:ascii="Symbol" w:hAnsi="Symbol" w:hint="default"/>
        <w:b w:val="0"/>
        <w:i w:val="0"/>
        <w:position w:val="2"/>
        <w:sz w:val="20"/>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0" w15:restartNumberingAfterBreak="0">
    <w:nsid w:val="353C7769"/>
    <w:multiLevelType w:val="hybridMultilevel"/>
    <w:tmpl w:val="A880D0F8"/>
    <w:lvl w:ilvl="0" w:tplc="080C0003">
      <w:start w:val="1"/>
      <w:numFmt w:val="bullet"/>
      <w:lvlText w:val="o"/>
      <w:lvlJc w:val="left"/>
      <w:pPr>
        <w:ind w:left="1069" w:hanging="360"/>
      </w:pPr>
      <w:rPr>
        <w:rFonts w:ascii="Courier New" w:hAnsi="Courier New" w:cs="Courier New"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1" w15:restartNumberingAfterBreak="0">
    <w:nsid w:val="397464F7"/>
    <w:multiLevelType w:val="multilevel"/>
    <w:tmpl w:val="364C75D0"/>
    <w:lvl w:ilvl="0">
      <w:start w:val="1"/>
      <w:numFmt w:val="bullet"/>
      <w:lvlText w:val="o"/>
      <w:lvlJc w:val="left"/>
      <w:pPr>
        <w:tabs>
          <w:tab w:val="num" w:pos="4045"/>
        </w:tabs>
        <w:ind w:left="3884" w:hanging="199"/>
      </w:pPr>
      <w:rPr>
        <w:rFonts w:ascii="Courier New" w:hAnsi="Courier New" w:cs="Courier New" w:hint="default"/>
        <w:b w:val="0"/>
        <w:i w:val="0"/>
        <w:spacing w:val="0"/>
        <w:position w:val="0"/>
        <w:sz w:val="16"/>
      </w:rPr>
    </w:lvl>
    <w:lvl w:ilvl="1">
      <w:start w:val="1"/>
      <w:numFmt w:val="bullet"/>
      <w:lvlText w:val=""/>
      <w:lvlJc w:val="left"/>
      <w:pPr>
        <w:tabs>
          <w:tab w:val="num" w:pos="758"/>
        </w:tabs>
        <w:ind w:left="624" w:hanging="226"/>
      </w:pPr>
      <w:rPr>
        <w:rFonts w:ascii="Symbol" w:hAnsi="Symbol" w:hint="default"/>
        <w:b w:val="0"/>
        <w:i w:val="0"/>
        <w:position w:val="1"/>
        <w:sz w:val="20"/>
      </w:rPr>
    </w:lvl>
    <w:lvl w:ilvl="2">
      <w:start w:val="1"/>
      <w:numFmt w:val="bullet"/>
      <w:lvlText w:val=""/>
      <w:lvlJc w:val="left"/>
      <w:pPr>
        <w:tabs>
          <w:tab w:val="num" w:pos="984"/>
        </w:tabs>
        <w:ind w:left="766" w:hanging="142"/>
      </w:pPr>
      <w:rPr>
        <w:rFonts w:ascii="Symbol" w:hAnsi="Symbol" w:hint="default"/>
        <w:b w:val="0"/>
        <w:i w:val="0"/>
        <w:position w:val="2"/>
        <w:sz w:val="20"/>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2" w15:restartNumberingAfterBreak="0">
    <w:nsid w:val="458847EC"/>
    <w:multiLevelType w:val="multilevel"/>
    <w:tmpl w:val="B76C452C"/>
    <w:lvl w:ilvl="0">
      <w:start w:val="2"/>
      <w:numFmt w:val="decimal"/>
      <w:lvlText w:val="%1."/>
      <w:lvlJc w:val="left"/>
      <w:pPr>
        <w:ind w:left="360" w:hanging="360"/>
      </w:pPr>
      <w:rPr>
        <w:rFonts w:hint="default"/>
      </w:rPr>
    </w:lvl>
    <w:lvl w:ilvl="1">
      <w:start w:val="1"/>
      <w:numFmt w:val="decimal"/>
      <w:lvlText w:val="%1.%2."/>
      <w:lvlJc w:val="left"/>
      <w:pPr>
        <w:ind w:left="919" w:hanging="720"/>
      </w:pPr>
      <w:rPr>
        <w:rFonts w:hint="default"/>
      </w:rPr>
    </w:lvl>
    <w:lvl w:ilvl="2">
      <w:start w:val="1"/>
      <w:numFmt w:val="decimal"/>
      <w:lvlText w:val="%1.%2.%3."/>
      <w:lvlJc w:val="left"/>
      <w:pPr>
        <w:ind w:left="1118" w:hanging="720"/>
      </w:pPr>
      <w:rPr>
        <w:rFonts w:hint="default"/>
      </w:rPr>
    </w:lvl>
    <w:lvl w:ilvl="3">
      <w:start w:val="1"/>
      <w:numFmt w:val="decimal"/>
      <w:lvlText w:val="%1.%2.%3.%4."/>
      <w:lvlJc w:val="left"/>
      <w:pPr>
        <w:ind w:left="1677" w:hanging="108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435" w:hanging="1440"/>
      </w:pPr>
      <w:rPr>
        <w:rFonts w:hint="default"/>
      </w:rPr>
    </w:lvl>
    <w:lvl w:ilvl="6">
      <w:start w:val="1"/>
      <w:numFmt w:val="decimal"/>
      <w:lvlText w:val="%1.%2.%3.%4.%5.%6.%7."/>
      <w:lvlJc w:val="left"/>
      <w:pPr>
        <w:ind w:left="2994" w:hanging="1800"/>
      </w:pPr>
      <w:rPr>
        <w:rFonts w:hint="default"/>
      </w:rPr>
    </w:lvl>
    <w:lvl w:ilvl="7">
      <w:start w:val="1"/>
      <w:numFmt w:val="decimal"/>
      <w:lvlText w:val="%1.%2.%3.%4.%5.%6.%7.%8."/>
      <w:lvlJc w:val="left"/>
      <w:pPr>
        <w:ind w:left="3193" w:hanging="1800"/>
      </w:pPr>
      <w:rPr>
        <w:rFonts w:hint="default"/>
      </w:rPr>
    </w:lvl>
    <w:lvl w:ilvl="8">
      <w:start w:val="1"/>
      <w:numFmt w:val="decimal"/>
      <w:lvlText w:val="%1.%2.%3.%4.%5.%6.%7.%8.%9."/>
      <w:lvlJc w:val="left"/>
      <w:pPr>
        <w:ind w:left="3752" w:hanging="2160"/>
      </w:pPr>
      <w:rPr>
        <w:rFonts w:hint="default"/>
      </w:rPr>
    </w:lvl>
  </w:abstractNum>
  <w:abstractNum w:abstractNumId="23" w15:restartNumberingAfterBreak="0">
    <w:nsid w:val="4BB227CE"/>
    <w:multiLevelType w:val="hybridMultilevel"/>
    <w:tmpl w:val="D7A45202"/>
    <w:lvl w:ilvl="0" w:tplc="040A5BCA">
      <w:start w:val="20"/>
      <w:numFmt w:val="bullet"/>
      <w:lvlText w:val="-"/>
      <w:lvlJc w:val="left"/>
      <w:pPr>
        <w:ind w:left="1495" w:hanging="360"/>
      </w:pPr>
      <w:rPr>
        <w:rFonts w:ascii="Verdana" w:eastAsia="Times New Roman" w:hAnsi="Verdana" w:cs="Times New Roman" w:hint="default"/>
      </w:rPr>
    </w:lvl>
    <w:lvl w:ilvl="1" w:tplc="080C0003">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24" w15:restartNumberingAfterBreak="0">
    <w:nsid w:val="5D887D19"/>
    <w:multiLevelType w:val="hybridMultilevel"/>
    <w:tmpl w:val="181A170C"/>
    <w:lvl w:ilvl="0" w:tplc="F9A23D90">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FD531B9"/>
    <w:multiLevelType w:val="hybridMultilevel"/>
    <w:tmpl w:val="785CF82C"/>
    <w:lvl w:ilvl="0" w:tplc="F9A23D90">
      <w:numFmt w:val="bullet"/>
      <w:lvlText w:val="-"/>
      <w:lvlJc w:val="left"/>
      <w:pPr>
        <w:ind w:left="720" w:hanging="360"/>
      </w:pPr>
      <w:rPr>
        <w:rFonts w:ascii="Verdana" w:eastAsia="Times New Roman" w:hAnsi="Verdana" w:cs="Times New Roman" w:hint="default"/>
      </w:rPr>
    </w:lvl>
    <w:lvl w:ilvl="1" w:tplc="040A5BCA">
      <w:start w:val="20"/>
      <w:numFmt w:val="bullet"/>
      <w:lvlText w:val="-"/>
      <w:lvlJc w:val="left"/>
      <w:pPr>
        <w:ind w:left="1440" w:hanging="360"/>
      </w:pPr>
      <w:rPr>
        <w:rFonts w:ascii="Verdana" w:eastAsia="Times New Roman"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E574F14"/>
    <w:multiLevelType w:val="hybridMultilevel"/>
    <w:tmpl w:val="07CA4D80"/>
    <w:lvl w:ilvl="0" w:tplc="F9A23D90">
      <w:numFmt w:val="bullet"/>
      <w:lvlText w:val="-"/>
      <w:lvlJc w:val="left"/>
      <w:pPr>
        <w:ind w:left="720" w:hanging="360"/>
      </w:pPr>
      <w:rPr>
        <w:rFonts w:ascii="Verdana" w:eastAsia="Times New Roman" w:hAnsi="Verdana" w:cs="Times New Roman" w:hint="default"/>
      </w:rPr>
    </w:lvl>
    <w:lvl w:ilvl="1" w:tplc="040A5BCA">
      <w:start w:val="20"/>
      <w:numFmt w:val="bullet"/>
      <w:lvlText w:val="-"/>
      <w:lvlJc w:val="left"/>
      <w:pPr>
        <w:ind w:left="1440" w:hanging="360"/>
      </w:pPr>
      <w:rPr>
        <w:rFonts w:ascii="Verdana" w:eastAsia="Times New Roman"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F097196"/>
    <w:multiLevelType w:val="hybridMultilevel"/>
    <w:tmpl w:val="B62C6EF2"/>
    <w:lvl w:ilvl="0" w:tplc="B0F2C1D8">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F804C78"/>
    <w:multiLevelType w:val="multilevel"/>
    <w:tmpl w:val="E6FAA5E6"/>
    <w:lvl w:ilvl="0">
      <w:start w:val="1"/>
      <w:numFmt w:val="decimal"/>
      <w:lvlText w:val="%1."/>
      <w:lvlJc w:val="left"/>
      <w:pPr>
        <w:ind w:left="705" w:hanging="705"/>
      </w:pPr>
      <w:rPr>
        <w:rFonts w:hint="default"/>
        <w:b w:val="0"/>
        <w:i w:val="0"/>
        <w:spacing w:val="0"/>
        <w:position w:val="1"/>
        <w:sz w:val="16"/>
      </w:rPr>
    </w:lvl>
    <w:lvl w:ilvl="1">
      <w:start w:val="1"/>
      <w:numFmt w:val="decimal"/>
      <w:lvlText w:val="%1.%2."/>
      <w:lvlJc w:val="left"/>
      <w:pPr>
        <w:ind w:left="720" w:hanging="720"/>
      </w:pPr>
      <w:rPr>
        <w:rFonts w:hint="default"/>
        <w:b w:val="0"/>
        <w:i w:val="0"/>
        <w:position w:val="1"/>
        <w:sz w:val="16"/>
      </w:rPr>
    </w:lvl>
    <w:lvl w:ilvl="2">
      <w:start w:val="1"/>
      <w:numFmt w:val="decimal"/>
      <w:lvlText w:val="%1.%2.%3."/>
      <w:lvlJc w:val="left"/>
      <w:pPr>
        <w:ind w:left="720" w:hanging="720"/>
      </w:pPr>
      <w:rPr>
        <w:rFonts w:hint="default"/>
        <w:b w:val="0"/>
        <w:i w:val="0"/>
        <w:position w:val="2"/>
        <w:sz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1F05ABE"/>
    <w:multiLevelType w:val="multilevel"/>
    <w:tmpl w:val="0A4C708A"/>
    <w:lvl w:ilvl="0">
      <w:start w:val="1"/>
      <w:numFmt w:val="bullet"/>
      <w:lvlText w:val=""/>
      <w:lvlJc w:val="left"/>
      <w:pPr>
        <w:tabs>
          <w:tab w:val="num" w:pos="360"/>
        </w:tabs>
        <w:ind w:left="360" w:hanging="360"/>
      </w:pPr>
      <w:rPr>
        <w:rFonts w:ascii="Symbol" w:hAnsi="Symbol" w:hint="default"/>
        <w:b w:val="0"/>
        <w:i w:val="0"/>
        <w:spacing w:val="0"/>
        <w:position w:val="0"/>
        <w:sz w:val="16"/>
      </w:rPr>
    </w:lvl>
    <w:lvl w:ilvl="1">
      <w:start w:val="1"/>
      <w:numFmt w:val="bullet"/>
      <w:lvlText w:val=""/>
      <w:lvlJc w:val="left"/>
      <w:pPr>
        <w:tabs>
          <w:tab w:val="num" w:pos="559"/>
        </w:tabs>
        <w:ind w:left="425" w:hanging="226"/>
      </w:pPr>
      <w:rPr>
        <w:rFonts w:ascii="Symbol" w:hAnsi="Symbol" w:hint="default"/>
        <w:b w:val="0"/>
        <w:i w:val="0"/>
        <w:position w:val="1"/>
        <w:sz w:val="20"/>
      </w:rPr>
    </w:lvl>
    <w:lvl w:ilvl="2">
      <w:start w:val="1"/>
      <w:numFmt w:val="bullet"/>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30" w15:restartNumberingAfterBreak="0">
    <w:nsid w:val="7E4D184D"/>
    <w:multiLevelType w:val="multilevel"/>
    <w:tmpl w:val="D370FE6E"/>
    <w:lvl w:ilvl="0">
      <w:numFmt w:val="bullet"/>
      <w:lvlText w:val="-"/>
      <w:lvlJc w:val="left"/>
      <w:pPr>
        <w:tabs>
          <w:tab w:val="num" w:pos="360"/>
        </w:tabs>
        <w:ind w:left="360" w:hanging="360"/>
      </w:pPr>
      <w:rPr>
        <w:rFonts w:ascii="Times New Roman" w:eastAsia="PMingLiU" w:hAnsi="Times New Roman" w:cs="Times New Roman" w:hint="default"/>
        <w:b w:val="0"/>
        <w:i w:val="0"/>
        <w:spacing w:val="0"/>
        <w:position w:val="0"/>
        <w:sz w:val="16"/>
      </w:rPr>
    </w:lvl>
    <w:lvl w:ilvl="1">
      <w:start w:val="1"/>
      <w:numFmt w:val="bullet"/>
      <w:lvlText w:val=""/>
      <w:lvlJc w:val="left"/>
      <w:pPr>
        <w:tabs>
          <w:tab w:val="num" w:pos="559"/>
        </w:tabs>
        <w:ind w:left="425" w:hanging="226"/>
      </w:pPr>
      <w:rPr>
        <w:rFonts w:ascii="Symbol" w:hAnsi="Symbol" w:hint="default"/>
        <w:b w:val="0"/>
        <w:i w:val="0"/>
        <w:position w:val="1"/>
        <w:sz w:val="20"/>
      </w:rPr>
    </w:lvl>
    <w:lvl w:ilvl="2">
      <w:start w:val="1"/>
      <w:numFmt w:val="bullet"/>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num w:numId="1">
    <w:abstractNumId w:val="1"/>
  </w:num>
  <w:num w:numId="2">
    <w:abstractNumId w:val="28"/>
  </w:num>
  <w:num w:numId="3">
    <w:abstractNumId w:val="6"/>
  </w:num>
  <w:num w:numId="4">
    <w:abstractNumId w:val="30"/>
  </w:num>
  <w:num w:numId="5">
    <w:abstractNumId w:val="18"/>
  </w:num>
  <w:num w:numId="6">
    <w:abstractNumId w:val="17"/>
  </w:num>
  <w:num w:numId="7">
    <w:abstractNumId w:val="23"/>
  </w:num>
  <w:num w:numId="8">
    <w:abstractNumId w:val="16"/>
  </w:num>
  <w:num w:numId="9">
    <w:abstractNumId w:val="20"/>
  </w:num>
  <w:num w:numId="10">
    <w:abstractNumId w:val="22"/>
  </w:num>
  <w:num w:numId="11">
    <w:abstractNumId w:val="21"/>
  </w:num>
  <w:num w:numId="12">
    <w:abstractNumId w:val="13"/>
  </w:num>
  <w:num w:numId="13">
    <w:abstractNumId w:val="7"/>
  </w:num>
  <w:num w:numId="14">
    <w:abstractNumId w:val="15"/>
  </w:num>
  <w:num w:numId="15">
    <w:abstractNumId w:val="2"/>
  </w:num>
  <w:num w:numId="16">
    <w:abstractNumId w:val="3"/>
  </w:num>
  <w:num w:numId="17">
    <w:abstractNumId w:val="12"/>
  </w:num>
  <w:num w:numId="18">
    <w:abstractNumId w:val="29"/>
  </w:num>
  <w:num w:numId="19">
    <w:abstractNumId w:val="27"/>
  </w:num>
  <w:num w:numId="20">
    <w:abstractNumId w:val="11"/>
  </w:num>
  <w:num w:numId="21">
    <w:abstractNumId w:val="14"/>
  </w:num>
  <w:num w:numId="22">
    <w:abstractNumId w:val="8"/>
  </w:num>
  <w:num w:numId="23">
    <w:abstractNumId w:val="9"/>
  </w:num>
  <w:num w:numId="24">
    <w:abstractNumId w:val="4"/>
  </w:num>
  <w:num w:numId="25">
    <w:abstractNumId w:val="5"/>
  </w:num>
  <w:num w:numId="26">
    <w:abstractNumId w:val="10"/>
  </w:num>
  <w:num w:numId="27">
    <w:abstractNumId w:val="25"/>
  </w:num>
  <w:num w:numId="28">
    <w:abstractNumId w:val="24"/>
  </w:num>
  <w:num w:numId="29">
    <w:abstractNumId w:val="26"/>
  </w:num>
  <w:num w:numId="30">
    <w:abstractNumId w:val="19"/>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43"/>
    <w:rsid w:val="000026EF"/>
    <w:rsid w:val="00003469"/>
    <w:rsid w:val="0000601A"/>
    <w:rsid w:val="000064CE"/>
    <w:rsid w:val="000071A2"/>
    <w:rsid w:val="0001127C"/>
    <w:rsid w:val="00011B84"/>
    <w:rsid w:val="000128D6"/>
    <w:rsid w:val="000152B6"/>
    <w:rsid w:val="00015746"/>
    <w:rsid w:val="00016853"/>
    <w:rsid w:val="00020362"/>
    <w:rsid w:val="00022839"/>
    <w:rsid w:val="00022ECD"/>
    <w:rsid w:val="00026975"/>
    <w:rsid w:val="00027A07"/>
    <w:rsid w:val="000306BA"/>
    <w:rsid w:val="00030A7D"/>
    <w:rsid w:val="00030AD1"/>
    <w:rsid w:val="00030BF0"/>
    <w:rsid w:val="00031F54"/>
    <w:rsid w:val="0003399C"/>
    <w:rsid w:val="0003518D"/>
    <w:rsid w:val="00036024"/>
    <w:rsid w:val="00037776"/>
    <w:rsid w:val="000432C0"/>
    <w:rsid w:val="0004612C"/>
    <w:rsid w:val="00046AD9"/>
    <w:rsid w:val="00047BD8"/>
    <w:rsid w:val="00047F6B"/>
    <w:rsid w:val="00051AA2"/>
    <w:rsid w:val="00053BA0"/>
    <w:rsid w:val="00054035"/>
    <w:rsid w:val="00055460"/>
    <w:rsid w:val="00056097"/>
    <w:rsid w:val="0006129E"/>
    <w:rsid w:val="00062F1C"/>
    <w:rsid w:val="000637A1"/>
    <w:rsid w:val="00064417"/>
    <w:rsid w:val="00066A8F"/>
    <w:rsid w:val="00071D7B"/>
    <w:rsid w:val="00073851"/>
    <w:rsid w:val="000739F3"/>
    <w:rsid w:val="00073D9C"/>
    <w:rsid w:val="0007475C"/>
    <w:rsid w:val="00075748"/>
    <w:rsid w:val="00075771"/>
    <w:rsid w:val="00077E67"/>
    <w:rsid w:val="000834B3"/>
    <w:rsid w:val="0008382F"/>
    <w:rsid w:val="00084048"/>
    <w:rsid w:val="00086BF4"/>
    <w:rsid w:val="00087A2B"/>
    <w:rsid w:val="000936B8"/>
    <w:rsid w:val="00094E4F"/>
    <w:rsid w:val="000A005B"/>
    <w:rsid w:val="000A04EE"/>
    <w:rsid w:val="000A0D91"/>
    <w:rsid w:val="000A13E5"/>
    <w:rsid w:val="000A4C92"/>
    <w:rsid w:val="000A7B53"/>
    <w:rsid w:val="000B00F6"/>
    <w:rsid w:val="000B225C"/>
    <w:rsid w:val="000B235C"/>
    <w:rsid w:val="000B327E"/>
    <w:rsid w:val="000B4F86"/>
    <w:rsid w:val="000C07C9"/>
    <w:rsid w:val="000C3E53"/>
    <w:rsid w:val="000C4C41"/>
    <w:rsid w:val="000C5031"/>
    <w:rsid w:val="000C61E9"/>
    <w:rsid w:val="000D4853"/>
    <w:rsid w:val="000D50CE"/>
    <w:rsid w:val="000D7B96"/>
    <w:rsid w:val="000E1B09"/>
    <w:rsid w:val="000E2189"/>
    <w:rsid w:val="000E2559"/>
    <w:rsid w:val="000E2826"/>
    <w:rsid w:val="000E3A1A"/>
    <w:rsid w:val="000E479B"/>
    <w:rsid w:val="000E5159"/>
    <w:rsid w:val="000E6778"/>
    <w:rsid w:val="000E70C6"/>
    <w:rsid w:val="000F0302"/>
    <w:rsid w:val="000F17E6"/>
    <w:rsid w:val="000F1B3B"/>
    <w:rsid w:val="000F2AB8"/>
    <w:rsid w:val="000F430A"/>
    <w:rsid w:val="000F720F"/>
    <w:rsid w:val="00101C0B"/>
    <w:rsid w:val="001025CC"/>
    <w:rsid w:val="001040F7"/>
    <w:rsid w:val="00105146"/>
    <w:rsid w:val="00105800"/>
    <w:rsid w:val="00105924"/>
    <w:rsid w:val="00107AD3"/>
    <w:rsid w:val="00111004"/>
    <w:rsid w:val="001116FF"/>
    <w:rsid w:val="001133AB"/>
    <w:rsid w:val="00113DAB"/>
    <w:rsid w:val="00113DD1"/>
    <w:rsid w:val="00114503"/>
    <w:rsid w:val="00115427"/>
    <w:rsid w:val="00115FB0"/>
    <w:rsid w:val="001175C0"/>
    <w:rsid w:val="00117F10"/>
    <w:rsid w:val="00120AB3"/>
    <w:rsid w:val="00120DED"/>
    <w:rsid w:val="0012737C"/>
    <w:rsid w:val="00127833"/>
    <w:rsid w:val="00131A16"/>
    <w:rsid w:val="00135000"/>
    <w:rsid w:val="001414E3"/>
    <w:rsid w:val="0014209D"/>
    <w:rsid w:val="00142932"/>
    <w:rsid w:val="00142CBA"/>
    <w:rsid w:val="00151E08"/>
    <w:rsid w:val="001532DE"/>
    <w:rsid w:val="00153B65"/>
    <w:rsid w:val="001550B3"/>
    <w:rsid w:val="00155E53"/>
    <w:rsid w:val="001572BE"/>
    <w:rsid w:val="00160539"/>
    <w:rsid w:val="001611DE"/>
    <w:rsid w:val="001617B2"/>
    <w:rsid w:val="00162AAC"/>
    <w:rsid w:val="001638D8"/>
    <w:rsid w:val="00164AB1"/>
    <w:rsid w:val="00166BF4"/>
    <w:rsid w:val="001675CC"/>
    <w:rsid w:val="0017227C"/>
    <w:rsid w:val="00173A35"/>
    <w:rsid w:val="001818C4"/>
    <w:rsid w:val="0018358C"/>
    <w:rsid w:val="00185DA5"/>
    <w:rsid w:val="001917C6"/>
    <w:rsid w:val="00192CB6"/>
    <w:rsid w:val="00193525"/>
    <w:rsid w:val="0019477E"/>
    <w:rsid w:val="001964C3"/>
    <w:rsid w:val="001A1366"/>
    <w:rsid w:val="001A1FC0"/>
    <w:rsid w:val="001A36E9"/>
    <w:rsid w:val="001A5813"/>
    <w:rsid w:val="001A68EF"/>
    <w:rsid w:val="001A6BE8"/>
    <w:rsid w:val="001B007C"/>
    <w:rsid w:val="001B065C"/>
    <w:rsid w:val="001B4C96"/>
    <w:rsid w:val="001C00C8"/>
    <w:rsid w:val="001C26E1"/>
    <w:rsid w:val="001C6EC1"/>
    <w:rsid w:val="001D2A08"/>
    <w:rsid w:val="001D3027"/>
    <w:rsid w:val="001D5866"/>
    <w:rsid w:val="001D5C2F"/>
    <w:rsid w:val="001D7711"/>
    <w:rsid w:val="001D7C93"/>
    <w:rsid w:val="001E02C1"/>
    <w:rsid w:val="001E432F"/>
    <w:rsid w:val="001E6689"/>
    <w:rsid w:val="001F2080"/>
    <w:rsid w:val="001F2FDE"/>
    <w:rsid w:val="001F5EEF"/>
    <w:rsid w:val="001F6EC5"/>
    <w:rsid w:val="001F72E6"/>
    <w:rsid w:val="001F7E6C"/>
    <w:rsid w:val="00200BCF"/>
    <w:rsid w:val="00201C90"/>
    <w:rsid w:val="00203ABD"/>
    <w:rsid w:val="00205154"/>
    <w:rsid w:val="00205D2A"/>
    <w:rsid w:val="00210816"/>
    <w:rsid w:val="002116A4"/>
    <w:rsid w:val="002119F4"/>
    <w:rsid w:val="00212C8E"/>
    <w:rsid w:val="002152E0"/>
    <w:rsid w:val="00217845"/>
    <w:rsid w:val="00217FF5"/>
    <w:rsid w:val="00220B81"/>
    <w:rsid w:val="00220C32"/>
    <w:rsid w:val="0022161F"/>
    <w:rsid w:val="00222D06"/>
    <w:rsid w:val="0023009D"/>
    <w:rsid w:val="002318F7"/>
    <w:rsid w:val="0023583E"/>
    <w:rsid w:val="00236EFC"/>
    <w:rsid w:val="00241576"/>
    <w:rsid w:val="00244730"/>
    <w:rsid w:val="0024540A"/>
    <w:rsid w:val="0024583C"/>
    <w:rsid w:val="00250E60"/>
    <w:rsid w:val="00251ACD"/>
    <w:rsid w:val="00252680"/>
    <w:rsid w:val="00263C81"/>
    <w:rsid w:val="00265CA1"/>
    <w:rsid w:val="00266C39"/>
    <w:rsid w:val="00266DCC"/>
    <w:rsid w:val="0027190A"/>
    <w:rsid w:val="00271A23"/>
    <w:rsid w:val="0027326B"/>
    <w:rsid w:val="002739EF"/>
    <w:rsid w:val="00274487"/>
    <w:rsid w:val="00275CE8"/>
    <w:rsid w:val="002767F6"/>
    <w:rsid w:val="00277C32"/>
    <w:rsid w:val="0028158C"/>
    <w:rsid w:val="002824E2"/>
    <w:rsid w:val="0028299F"/>
    <w:rsid w:val="00282DC3"/>
    <w:rsid w:val="00283D4F"/>
    <w:rsid w:val="0028421B"/>
    <w:rsid w:val="00285B20"/>
    <w:rsid w:val="00285C0F"/>
    <w:rsid w:val="0028603A"/>
    <w:rsid w:val="0029003E"/>
    <w:rsid w:val="00294596"/>
    <w:rsid w:val="002972E8"/>
    <w:rsid w:val="00297FD9"/>
    <w:rsid w:val="002A3885"/>
    <w:rsid w:val="002A6048"/>
    <w:rsid w:val="002A730C"/>
    <w:rsid w:val="002A79E9"/>
    <w:rsid w:val="002B03BC"/>
    <w:rsid w:val="002B0941"/>
    <w:rsid w:val="002B1B6D"/>
    <w:rsid w:val="002B2049"/>
    <w:rsid w:val="002B305E"/>
    <w:rsid w:val="002B411D"/>
    <w:rsid w:val="002B57A4"/>
    <w:rsid w:val="002B5A11"/>
    <w:rsid w:val="002B6BE6"/>
    <w:rsid w:val="002C08F7"/>
    <w:rsid w:val="002C37AE"/>
    <w:rsid w:val="002C3C8C"/>
    <w:rsid w:val="002C42FC"/>
    <w:rsid w:val="002C52B9"/>
    <w:rsid w:val="002D00EC"/>
    <w:rsid w:val="002D10D8"/>
    <w:rsid w:val="002D1B29"/>
    <w:rsid w:val="002D5627"/>
    <w:rsid w:val="002D62E9"/>
    <w:rsid w:val="002E0149"/>
    <w:rsid w:val="002E0848"/>
    <w:rsid w:val="002E0A40"/>
    <w:rsid w:val="002E0B9A"/>
    <w:rsid w:val="002E1718"/>
    <w:rsid w:val="002E3E38"/>
    <w:rsid w:val="002E6243"/>
    <w:rsid w:val="002E6479"/>
    <w:rsid w:val="002E6801"/>
    <w:rsid w:val="002F11C5"/>
    <w:rsid w:val="002F230D"/>
    <w:rsid w:val="002F360E"/>
    <w:rsid w:val="002F3AD6"/>
    <w:rsid w:val="002F463A"/>
    <w:rsid w:val="002F4835"/>
    <w:rsid w:val="002F4BAE"/>
    <w:rsid w:val="002F5089"/>
    <w:rsid w:val="002F745D"/>
    <w:rsid w:val="002F7553"/>
    <w:rsid w:val="0030220E"/>
    <w:rsid w:val="0030278C"/>
    <w:rsid w:val="003034F6"/>
    <w:rsid w:val="00303591"/>
    <w:rsid w:val="0030367F"/>
    <w:rsid w:val="00304634"/>
    <w:rsid w:val="00306B75"/>
    <w:rsid w:val="00312F3E"/>
    <w:rsid w:val="003154FA"/>
    <w:rsid w:val="00315DD4"/>
    <w:rsid w:val="00317B36"/>
    <w:rsid w:val="00322C27"/>
    <w:rsid w:val="00323ECD"/>
    <w:rsid w:val="00325D19"/>
    <w:rsid w:val="0033094F"/>
    <w:rsid w:val="00331196"/>
    <w:rsid w:val="003313C3"/>
    <w:rsid w:val="0033220C"/>
    <w:rsid w:val="003322EC"/>
    <w:rsid w:val="0033233C"/>
    <w:rsid w:val="0033775A"/>
    <w:rsid w:val="0034063B"/>
    <w:rsid w:val="00344452"/>
    <w:rsid w:val="00345114"/>
    <w:rsid w:val="00351BEC"/>
    <w:rsid w:val="00353558"/>
    <w:rsid w:val="00353B5F"/>
    <w:rsid w:val="00353C98"/>
    <w:rsid w:val="00353EE4"/>
    <w:rsid w:val="00356826"/>
    <w:rsid w:val="003604A3"/>
    <w:rsid w:val="00360AF3"/>
    <w:rsid w:val="00362585"/>
    <w:rsid w:val="00362DF3"/>
    <w:rsid w:val="00362ED8"/>
    <w:rsid w:val="003637E6"/>
    <w:rsid w:val="00363A69"/>
    <w:rsid w:val="00364443"/>
    <w:rsid w:val="00366F83"/>
    <w:rsid w:val="00371560"/>
    <w:rsid w:val="0037182A"/>
    <w:rsid w:val="003744D2"/>
    <w:rsid w:val="00374E8E"/>
    <w:rsid w:val="00375AC9"/>
    <w:rsid w:val="00375E54"/>
    <w:rsid w:val="00376511"/>
    <w:rsid w:val="00384F3A"/>
    <w:rsid w:val="00386B13"/>
    <w:rsid w:val="00386CD9"/>
    <w:rsid w:val="00387B0E"/>
    <w:rsid w:val="00391086"/>
    <w:rsid w:val="003912C4"/>
    <w:rsid w:val="00391C48"/>
    <w:rsid w:val="00393880"/>
    <w:rsid w:val="00393ADD"/>
    <w:rsid w:val="0039626C"/>
    <w:rsid w:val="00397C6C"/>
    <w:rsid w:val="00397D27"/>
    <w:rsid w:val="003A04D1"/>
    <w:rsid w:val="003A1DE7"/>
    <w:rsid w:val="003A31DF"/>
    <w:rsid w:val="003A3680"/>
    <w:rsid w:val="003A3D58"/>
    <w:rsid w:val="003A7B0E"/>
    <w:rsid w:val="003B216D"/>
    <w:rsid w:val="003B40E4"/>
    <w:rsid w:val="003C1B4A"/>
    <w:rsid w:val="003C2F9A"/>
    <w:rsid w:val="003C3AAF"/>
    <w:rsid w:val="003C48B1"/>
    <w:rsid w:val="003D0668"/>
    <w:rsid w:val="003D374D"/>
    <w:rsid w:val="003D3A46"/>
    <w:rsid w:val="003D47E1"/>
    <w:rsid w:val="003D7A5A"/>
    <w:rsid w:val="003D7B4C"/>
    <w:rsid w:val="003E1F2D"/>
    <w:rsid w:val="003E2CCC"/>
    <w:rsid w:val="003F07EE"/>
    <w:rsid w:val="003F095E"/>
    <w:rsid w:val="003F0BD0"/>
    <w:rsid w:val="003F2A24"/>
    <w:rsid w:val="003F50CF"/>
    <w:rsid w:val="003F6C03"/>
    <w:rsid w:val="00400ECD"/>
    <w:rsid w:val="0040322D"/>
    <w:rsid w:val="00404A7E"/>
    <w:rsid w:val="00405CCC"/>
    <w:rsid w:val="00407643"/>
    <w:rsid w:val="0041094F"/>
    <w:rsid w:val="00412BE5"/>
    <w:rsid w:val="004149ED"/>
    <w:rsid w:val="00416376"/>
    <w:rsid w:val="004174EB"/>
    <w:rsid w:val="0042064B"/>
    <w:rsid w:val="004227A0"/>
    <w:rsid w:val="0042281A"/>
    <w:rsid w:val="004236C1"/>
    <w:rsid w:val="004245DF"/>
    <w:rsid w:val="00427E8F"/>
    <w:rsid w:val="00427F5E"/>
    <w:rsid w:val="00431B4D"/>
    <w:rsid w:val="00432001"/>
    <w:rsid w:val="0043211A"/>
    <w:rsid w:val="00432EE8"/>
    <w:rsid w:val="00433E69"/>
    <w:rsid w:val="004346D2"/>
    <w:rsid w:val="004378AE"/>
    <w:rsid w:val="00442B21"/>
    <w:rsid w:val="0044328D"/>
    <w:rsid w:val="00444246"/>
    <w:rsid w:val="004453B2"/>
    <w:rsid w:val="00450494"/>
    <w:rsid w:val="00450860"/>
    <w:rsid w:val="00451860"/>
    <w:rsid w:val="00453686"/>
    <w:rsid w:val="00455001"/>
    <w:rsid w:val="00463D8C"/>
    <w:rsid w:val="004657C6"/>
    <w:rsid w:val="0046764E"/>
    <w:rsid w:val="00467792"/>
    <w:rsid w:val="0047009F"/>
    <w:rsid w:val="004708EC"/>
    <w:rsid w:val="00470E4E"/>
    <w:rsid w:val="00471C78"/>
    <w:rsid w:val="004727BA"/>
    <w:rsid w:val="004736FB"/>
    <w:rsid w:val="004737F6"/>
    <w:rsid w:val="00474ECE"/>
    <w:rsid w:val="004758E1"/>
    <w:rsid w:val="004774D2"/>
    <w:rsid w:val="004815DA"/>
    <w:rsid w:val="00482E72"/>
    <w:rsid w:val="0048610E"/>
    <w:rsid w:val="00486432"/>
    <w:rsid w:val="00486BA7"/>
    <w:rsid w:val="00486C26"/>
    <w:rsid w:val="00490C37"/>
    <w:rsid w:val="004927EF"/>
    <w:rsid w:val="00493CCE"/>
    <w:rsid w:val="00495FE7"/>
    <w:rsid w:val="00496D21"/>
    <w:rsid w:val="004972E4"/>
    <w:rsid w:val="00497639"/>
    <w:rsid w:val="004A2F89"/>
    <w:rsid w:val="004A369E"/>
    <w:rsid w:val="004A59C5"/>
    <w:rsid w:val="004A7781"/>
    <w:rsid w:val="004B16EA"/>
    <w:rsid w:val="004B18FD"/>
    <w:rsid w:val="004B2D99"/>
    <w:rsid w:val="004B318B"/>
    <w:rsid w:val="004B34D6"/>
    <w:rsid w:val="004B4964"/>
    <w:rsid w:val="004B5115"/>
    <w:rsid w:val="004B5F76"/>
    <w:rsid w:val="004C0322"/>
    <w:rsid w:val="004C0C03"/>
    <w:rsid w:val="004C6BB3"/>
    <w:rsid w:val="004D0E3B"/>
    <w:rsid w:val="004D2689"/>
    <w:rsid w:val="004D2C09"/>
    <w:rsid w:val="004D3E09"/>
    <w:rsid w:val="004D6B6C"/>
    <w:rsid w:val="004E01A6"/>
    <w:rsid w:val="004E40A9"/>
    <w:rsid w:val="004F2923"/>
    <w:rsid w:val="004F3ADD"/>
    <w:rsid w:val="004F408A"/>
    <w:rsid w:val="004F448F"/>
    <w:rsid w:val="004F4FB3"/>
    <w:rsid w:val="005001B8"/>
    <w:rsid w:val="00504B54"/>
    <w:rsid w:val="00505355"/>
    <w:rsid w:val="00505404"/>
    <w:rsid w:val="005058D3"/>
    <w:rsid w:val="00506B49"/>
    <w:rsid w:val="00511000"/>
    <w:rsid w:val="00511647"/>
    <w:rsid w:val="00512797"/>
    <w:rsid w:val="00512C53"/>
    <w:rsid w:val="00517752"/>
    <w:rsid w:val="0052078E"/>
    <w:rsid w:val="00523792"/>
    <w:rsid w:val="005254F1"/>
    <w:rsid w:val="00526085"/>
    <w:rsid w:val="0052619C"/>
    <w:rsid w:val="005261FB"/>
    <w:rsid w:val="0052747A"/>
    <w:rsid w:val="005319F6"/>
    <w:rsid w:val="00533635"/>
    <w:rsid w:val="0053549A"/>
    <w:rsid w:val="005370BF"/>
    <w:rsid w:val="005417CA"/>
    <w:rsid w:val="00541C4E"/>
    <w:rsid w:val="00544E53"/>
    <w:rsid w:val="005458BF"/>
    <w:rsid w:val="00546783"/>
    <w:rsid w:val="00546CB0"/>
    <w:rsid w:val="0055066F"/>
    <w:rsid w:val="005517E7"/>
    <w:rsid w:val="00552BB0"/>
    <w:rsid w:val="005549E4"/>
    <w:rsid w:val="00554D8E"/>
    <w:rsid w:val="00556450"/>
    <w:rsid w:val="0056282D"/>
    <w:rsid w:val="00563C33"/>
    <w:rsid w:val="0056413B"/>
    <w:rsid w:val="00564788"/>
    <w:rsid w:val="00565208"/>
    <w:rsid w:val="00566431"/>
    <w:rsid w:val="00566571"/>
    <w:rsid w:val="00566604"/>
    <w:rsid w:val="0056707C"/>
    <w:rsid w:val="00567612"/>
    <w:rsid w:val="00567CE7"/>
    <w:rsid w:val="00571A79"/>
    <w:rsid w:val="00571D12"/>
    <w:rsid w:val="005724D6"/>
    <w:rsid w:val="005725D1"/>
    <w:rsid w:val="0057369C"/>
    <w:rsid w:val="005739E2"/>
    <w:rsid w:val="00573B7D"/>
    <w:rsid w:val="00574D14"/>
    <w:rsid w:val="00576090"/>
    <w:rsid w:val="00576A89"/>
    <w:rsid w:val="005802FE"/>
    <w:rsid w:val="00581A4D"/>
    <w:rsid w:val="00583308"/>
    <w:rsid w:val="00584DF8"/>
    <w:rsid w:val="00585875"/>
    <w:rsid w:val="00590817"/>
    <w:rsid w:val="00591D12"/>
    <w:rsid w:val="00594505"/>
    <w:rsid w:val="005969C6"/>
    <w:rsid w:val="00596B89"/>
    <w:rsid w:val="00597144"/>
    <w:rsid w:val="005A7551"/>
    <w:rsid w:val="005B552C"/>
    <w:rsid w:val="005B57C4"/>
    <w:rsid w:val="005B5B98"/>
    <w:rsid w:val="005B6296"/>
    <w:rsid w:val="005B652E"/>
    <w:rsid w:val="005B6643"/>
    <w:rsid w:val="005B7E22"/>
    <w:rsid w:val="005C04DD"/>
    <w:rsid w:val="005C1526"/>
    <w:rsid w:val="005C2F3D"/>
    <w:rsid w:val="005D11AC"/>
    <w:rsid w:val="005D27EA"/>
    <w:rsid w:val="005D56DD"/>
    <w:rsid w:val="005D63CE"/>
    <w:rsid w:val="005E016D"/>
    <w:rsid w:val="005E12E3"/>
    <w:rsid w:val="005E1675"/>
    <w:rsid w:val="005E30D4"/>
    <w:rsid w:val="005E4FF3"/>
    <w:rsid w:val="005E5746"/>
    <w:rsid w:val="005E68F8"/>
    <w:rsid w:val="005E7422"/>
    <w:rsid w:val="005E76CA"/>
    <w:rsid w:val="005F4914"/>
    <w:rsid w:val="005F4BCE"/>
    <w:rsid w:val="005F74BD"/>
    <w:rsid w:val="0060029C"/>
    <w:rsid w:val="006006C9"/>
    <w:rsid w:val="00602171"/>
    <w:rsid w:val="00606307"/>
    <w:rsid w:val="006072FC"/>
    <w:rsid w:val="006102BF"/>
    <w:rsid w:val="0061036A"/>
    <w:rsid w:val="006114C6"/>
    <w:rsid w:val="00613E52"/>
    <w:rsid w:val="00616758"/>
    <w:rsid w:val="0061703A"/>
    <w:rsid w:val="00620CB3"/>
    <w:rsid w:val="00621756"/>
    <w:rsid w:val="00622978"/>
    <w:rsid w:val="006243C9"/>
    <w:rsid w:val="0062493D"/>
    <w:rsid w:val="006257C8"/>
    <w:rsid w:val="006258C5"/>
    <w:rsid w:val="006268DF"/>
    <w:rsid w:val="00626EEB"/>
    <w:rsid w:val="006277F7"/>
    <w:rsid w:val="006302F6"/>
    <w:rsid w:val="00630C42"/>
    <w:rsid w:val="00630F86"/>
    <w:rsid w:val="00633E99"/>
    <w:rsid w:val="0063423B"/>
    <w:rsid w:val="00634543"/>
    <w:rsid w:val="006360A7"/>
    <w:rsid w:val="00637828"/>
    <w:rsid w:val="00637A98"/>
    <w:rsid w:val="0064271A"/>
    <w:rsid w:val="0064340B"/>
    <w:rsid w:val="006461A1"/>
    <w:rsid w:val="00647538"/>
    <w:rsid w:val="00650936"/>
    <w:rsid w:val="00652ABB"/>
    <w:rsid w:val="006545EC"/>
    <w:rsid w:val="00654CE2"/>
    <w:rsid w:val="00655514"/>
    <w:rsid w:val="00657189"/>
    <w:rsid w:val="00657C5C"/>
    <w:rsid w:val="006630B3"/>
    <w:rsid w:val="00663A88"/>
    <w:rsid w:val="00664041"/>
    <w:rsid w:val="00666134"/>
    <w:rsid w:val="006669F3"/>
    <w:rsid w:val="00666DCD"/>
    <w:rsid w:val="00667EA1"/>
    <w:rsid w:val="00671160"/>
    <w:rsid w:val="00671222"/>
    <w:rsid w:val="00672D68"/>
    <w:rsid w:val="00674CEB"/>
    <w:rsid w:val="0068093E"/>
    <w:rsid w:val="00680A70"/>
    <w:rsid w:val="00681B3E"/>
    <w:rsid w:val="0068312B"/>
    <w:rsid w:val="0068316B"/>
    <w:rsid w:val="00684EEA"/>
    <w:rsid w:val="00692F12"/>
    <w:rsid w:val="006A6FAA"/>
    <w:rsid w:val="006A767D"/>
    <w:rsid w:val="006A7DD8"/>
    <w:rsid w:val="006B012D"/>
    <w:rsid w:val="006B0576"/>
    <w:rsid w:val="006B3703"/>
    <w:rsid w:val="006B4934"/>
    <w:rsid w:val="006B5478"/>
    <w:rsid w:val="006B778F"/>
    <w:rsid w:val="006B7D8B"/>
    <w:rsid w:val="006C0583"/>
    <w:rsid w:val="006C0E10"/>
    <w:rsid w:val="006C103E"/>
    <w:rsid w:val="006C5378"/>
    <w:rsid w:val="006C66C8"/>
    <w:rsid w:val="006C7536"/>
    <w:rsid w:val="006D0352"/>
    <w:rsid w:val="006D38F5"/>
    <w:rsid w:val="006D50CF"/>
    <w:rsid w:val="006D5EF0"/>
    <w:rsid w:val="006D693F"/>
    <w:rsid w:val="006E05DE"/>
    <w:rsid w:val="006E0FB4"/>
    <w:rsid w:val="006E115A"/>
    <w:rsid w:val="006E37B8"/>
    <w:rsid w:val="006E5899"/>
    <w:rsid w:val="006E5F44"/>
    <w:rsid w:val="006E735B"/>
    <w:rsid w:val="006E7B60"/>
    <w:rsid w:val="006F03DD"/>
    <w:rsid w:val="006F078F"/>
    <w:rsid w:val="006F271E"/>
    <w:rsid w:val="006F32FF"/>
    <w:rsid w:val="006F4893"/>
    <w:rsid w:val="006F501A"/>
    <w:rsid w:val="006F5CE6"/>
    <w:rsid w:val="00702F49"/>
    <w:rsid w:val="00704EE7"/>
    <w:rsid w:val="00707928"/>
    <w:rsid w:val="00707E26"/>
    <w:rsid w:val="00714DC4"/>
    <w:rsid w:val="00714F5C"/>
    <w:rsid w:val="007159C1"/>
    <w:rsid w:val="007160BA"/>
    <w:rsid w:val="00716C06"/>
    <w:rsid w:val="007174D8"/>
    <w:rsid w:val="00717787"/>
    <w:rsid w:val="00722D4A"/>
    <w:rsid w:val="00722F22"/>
    <w:rsid w:val="00723224"/>
    <w:rsid w:val="00723BE3"/>
    <w:rsid w:val="00725F3F"/>
    <w:rsid w:val="007262CC"/>
    <w:rsid w:val="00726B81"/>
    <w:rsid w:val="00726D06"/>
    <w:rsid w:val="00727AEA"/>
    <w:rsid w:val="00732D72"/>
    <w:rsid w:val="00734279"/>
    <w:rsid w:val="00736646"/>
    <w:rsid w:val="00736BFC"/>
    <w:rsid w:val="007372B4"/>
    <w:rsid w:val="00742A40"/>
    <w:rsid w:val="007460DA"/>
    <w:rsid w:val="00746FE3"/>
    <w:rsid w:val="00747476"/>
    <w:rsid w:val="00747EA6"/>
    <w:rsid w:val="00751929"/>
    <w:rsid w:val="00755081"/>
    <w:rsid w:val="00756E6E"/>
    <w:rsid w:val="007630BD"/>
    <w:rsid w:val="00764106"/>
    <w:rsid w:val="00770984"/>
    <w:rsid w:val="00770BDB"/>
    <w:rsid w:val="00771684"/>
    <w:rsid w:val="00773408"/>
    <w:rsid w:val="007800CC"/>
    <w:rsid w:val="00785649"/>
    <w:rsid w:val="007864A7"/>
    <w:rsid w:val="0078659C"/>
    <w:rsid w:val="00787039"/>
    <w:rsid w:val="007904B8"/>
    <w:rsid w:val="00790B1A"/>
    <w:rsid w:val="0079547C"/>
    <w:rsid w:val="007A0379"/>
    <w:rsid w:val="007A080E"/>
    <w:rsid w:val="007A2736"/>
    <w:rsid w:val="007A2F92"/>
    <w:rsid w:val="007A363B"/>
    <w:rsid w:val="007A5EAD"/>
    <w:rsid w:val="007A7858"/>
    <w:rsid w:val="007A7DD2"/>
    <w:rsid w:val="007B22A6"/>
    <w:rsid w:val="007B25E5"/>
    <w:rsid w:val="007B271E"/>
    <w:rsid w:val="007B5A47"/>
    <w:rsid w:val="007B6A96"/>
    <w:rsid w:val="007B7591"/>
    <w:rsid w:val="007C0A4F"/>
    <w:rsid w:val="007C170E"/>
    <w:rsid w:val="007C49C3"/>
    <w:rsid w:val="007C53DA"/>
    <w:rsid w:val="007D0C32"/>
    <w:rsid w:val="007D4EE9"/>
    <w:rsid w:val="007D6E06"/>
    <w:rsid w:val="007D7653"/>
    <w:rsid w:val="007E0502"/>
    <w:rsid w:val="007E16ED"/>
    <w:rsid w:val="007E2631"/>
    <w:rsid w:val="007E32CE"/>
    <w:rsid w:val="007E34AF"/>
    <w:rsid w:val="007F39E4"/>
    <w:rsid w:val="007F5E32"/>
    <w:rsid w:val="007F7581"/>
    <w:rsid w:val="0080137A"/>
    <w:rsid w:val="0081044E"/>
    <w:rsid w:val="00810EF4"/>
    <w:rsid w:val="0081210F"/>
    <w:rsid w:val="008132C3"/>
    <w:rsid w:val="00814B50"/>
    <w:rsid w:val="0081544B"/>
    <w:rsid w:val="00815639"/>
    <w:rsid w:val="00815D9C"/>
    <w:rsid w:val="0081722A"/>
    <w:rsid w:val="00817EAB"/>
    <w:rsid w:val="00820587"/>
    <w:rsid w:val="00821EBC"/>
    <w:rsid w:val="00822BAD"/>
    <w:rsid w:val="00823E79"/>
    <w:rsid w:val="00826F20"/>
    <w:rsid w:val="008301E4"/>
    <w:rsid w:val="00830EBB"/>
    <w:rsid w:val="00831A8C"/>
    <w:rsid w:val="00832A4C"/>
    <w:rsid w:val="0083362D"/>
    <w:rsid w:val="008342D2"/>
    <w:rsid w:val="008354A6"/>
    <w:rsid w:val="00837399"/>
    <w:rsid w:val="008407AF"/>
    <w:rsid w:val="008415F1"/>
    <w:rsid w:val="00843388"/>
    <w:rsid w:val="00845716"/>
    <w:rsid w:val="008457E8"/>
    <w:rsid w:val="00847D30"/>
    <w:rsid w:val="0085045C"/>
    <w:rsid w:val="0085055F"/>
    <w:rsid w:val="00851006"/>
    <w:rsid w:val="00853AF5"/>
    <w:rsid w:val="00853C40"/>
    <w:rsid w:val="008546BC"/>
    <w:rsid w:val="00860955"/>
    <w:rsid w:val="0086140B"/>
    <w:rsid w:val="008620DD"/>
    <w:rsid w:val="0086330E"/>
    <w:rsid w:val="00863E3E"/>
    <w:rsid w:val="008667D4"/>
    <w:rsid w:val="00866EC4"/>
    <w:rsid w:val="00866F23"/>
    <w:rsid w:val="00872188"/>
    <w:rsid w:val="008735FC"/>
    <w:rsid w:val="0087695F"/>
    <w:rsid w:val="00876FDD"/>
    <w:rsid w:val="00880A70"/>
    <w:rsid w:val="008820B1"/>
    <w:rsid w:val="008843FF"/>
    <w:rsid w:val="008844E9"/>
    <w:rsid w:val="008850D9"/>
    <w:rsid w:val="00886373"/>
    <w:rsid w:val="008864DC"/>
    <w:rsid w:val="00886DC9"/>
    <w:rsid w:val="00886F5F"/>
    <w:rsid w:val="00890802"/>
    <w:rsid w:val="00892819"/>
    <w:rsid w:val="00894168"/>
    <w:rsid w:val="00894EC8"/>
    <w:rsid w:val="00895697"/>
    <w:rsid w:val="00896A2C"/>
    <w:rsid w:val="008A0F49"/>
    <w:rsid w:val="008A2248"/>
    <w:rsid w:val="008A33CD"/>
    <w:rsid w:val="008A34C9"/>
    <w:rsid w:val="008A3800"/>
    <w:rsid w:val="008A3846"/>
    <w:rsid w:val="008A3A28"/>
    <w:rsid w:val="008A576F"/>
    <w:rsid w:val="008A5950"/>
    <w:rsid w:val="008A5C75"/>
    <w:rsid w:val="008A7B27"/>
    <w:rsid w:val="008B1A4E"/>
    <w:rsid w:val="008B5952"/>
    <w:rsid w:val="008B73C4"/>
    <w:rsid w:val="008C01FC"/>
    <w:rsid w:val="008C4C75"/>
    <w:rsid w:val="008C543D"/>
    <w:rsid w:val="008C74F4"/>
    <w:rsid w:val="008D0025"/>
    <w:rsid w:val="008D0799"/>
    <w:rsid w:val="008D164D"/>
    <w:rsid w:val="008D28DE"/>
    <w:rsid w:val="008D3542"/>
    <w:rsid w:val="008D3F0D"/>
    <w:rsid w:val="008D43F1"/>
    <w:rsid w:val="008D5992"/>
    <w:rsid w:val="008D5A5A"/>
    <w:rsid w:val="008E0A03"/>
    <w:rsid w:val="008E0B98"/>
    <w:rsid w:val="008E1C1B"/>
    <w:rsid w:val="008E50E3"/>
    <w:rsid w:val="008E5E9E"/>
    <w:rsid w:val="008E74D6"/>
    <w:rsid w:val="008E7717"/>
    <w:rsid w:val="008F0928"/>
    <w:rsid w:val="008F1E5D"/>
    <w:rsid w:val="008F2538"/>
    <w:rsid w:val="008F58DB"/>
    <w:rsid w:val="009013EB"/>
    <w:rsid w:val="00901D23"/>
    <w:rsid w:val="00902FB1"/>
    <w:rsid w:val="00903F64"/>
    <w:rsid w:val="00904F4C"/>
    <w:rsid w:val="009138AF"/>
    <w:rsid w:val="009152DD"/>
    <w:rsid w:val="009159D5"/>
    <w:rsid w:val="00916CB5"/>
    <w:rsid w:val="00917F99"/>
    <w:rsid w:val="009200DD"/>
    <w:rsid w:val="0092068C"/>
    <w:rsid w:val="00920FA5"/>
    <w:rsid w:val="0092123F"/>
    <w:rsid w:val="00921A56"/>
    <w:rsid w:val="009234AA"/>
    <w:rsid w:val="00923691"/>
    <w:rsid w:val="00924196"/>
    <w:rsid w:val="009255F0"/>
    <w:rsid w:val="00925F15"/>
    <w:rsid w:val="0092610B"/>
    <w:rsid w:val="00933107"/>
    <w:rsid w:val="0093451B"/>
    <w:rsid w:val="00936584"/>
    <w:rsid w:val="009432B8"/>
    <w:rsid w:val="00945707"/>
    <w:rsid w:val="00946C4C"/>
    <w:rsid w:val="00947E23"/>
    <w:rsid w:val="00951221"/>
    <w:rsid w:val="00952410"/>
    <w:rsid w:val="009546DD"/>
    <w:rsid w:val="009551C1"/>
    <w:rsid w:val="009557D8"/>
    <w:rsid w:val="00955CDE"/>
    <w:rsid w:val="0096290B"/>
    <w:rsid w:val="00962AB0"/>
    <w:rsid w:val="00962B2C"/>
    <w:rsid w:val="00962D7F"/>
    <w:rsid w:val="0096339C"/>
    <w:rsid w:val="009671F1"/>
    <w:rsid w:val="00967CB4"/>
    <w:rsid w:val="00971CD7"/>
    <w:rsid w:val="00975D97"/>
    <w:rsid w:val="00975FDC"/>
    <w:rsid w:val="00982CC4"/>
    <w:rsid w:val="00984E6F"/>
    <w:rsid w:val="00992040"/>
    <w:rsid w:val="009920F2"/>
    <w:rsid w:val="00993DA8"/>
    <w:rsid w:val="0099576C"/>
    <w:rsid w:val="00996C0A"/>
    <w:rsid w:val="009A26BC"/>
    <w:rsid w:val="009A2AA1"/>
    <w:rsid w:val="009A37A0"/>
    <w:rsid w:val="009A5892"/>
    <w:rsid w:val="009B0D61"/>
    <w:rsid w:val="009B32E2"/>
    <w:rsid w:val="009B3F46"/>
    <w:rsid w:val="009B5480"/>
    <w:rsid w:val="009B6863"/>
    <w:rsid w:val="009B7984"/>
    <w:rsid w:val="009C03AA"/>
    <w:rsid w:val="009C0A58"/>
    <w:rsid w:val="009C0F14"/>
    <w:rsid w:val="009C5DD5"/>
    <w:rsid w:val="009D09E3"/>
    <w:rsid w:val="009D2252"/>
    <w:rsid w:val="009D2C2C"/>
    <w:rsid w:val="009D38CC"/>
    <w:rsid w:val="009D42B0"/>
    <w:rsid w:val="009D453B"/>
    <w:rsid w:val="009D4C73"/>
    <w:rsid w:val="009D5969"/>
    <w:rsid w:val="009D5CAA"/>
    <w:rsid w:val="009E0223"/>
    <w:rsid w:val="009E04C8"/>
    <w:rsid w:val="009E267D"/>
    <w:rsid w:val="009E35A9"/>
    <w:rsid w:val="009E7113"/>
    <w:rsid w:val="009F505D"/>
    <w:rsid w:val="009F7F66"/>
    <w:rsid w:val="00A02257"/>
    <w:rsid w:val="00A05561"/>
    <w:rsid w:val="00A05B7A"/>
    <w:rsid w:val="00A064F4"/>
    <w:rsid w:val="00A077FD"/>
    <w:rsid w:val="00A07C58"/>
    <w:rsid w:val="00A12306"/>
    <w:rsid w:val="00A13733"/>
    <w:rsid w:val="00A13E05"/>
    <w:rsid w:val="00A13E9A"/>
    <w:rsid w:val="00A1402F"/>
    <w:rsid w:val="00A14550"/>
    <w:rsid w:val="00A1504D"/>
    <w:rsid w:val="00A15538"/>
    <w:rsid w:val="00A17221"/>
    <w:rsid w:val="00A213EA"/>
    <w:rsid w:val="00A253CE"/>
    <w:rsid w:val="00A27405"/>
    <w:rsid w:val="00A2758F"/>
    <w:rsid w:val="00A30849"/>
    <w:rsid w:val="00A30C08"/>
    <w:rsid w:val="00A31A5E"/>
    <w:rsid w:val="00A34F0B"/>
    <w:rsid w:val="00A37342"/>
    <w:rsid w:val="00A376B4"/>
    <w:rsid w:val="00A40735"/>
    <w:rsid w:val="00A409CE"/>
    <w:rsid w:val="00A40E9B"/>
    <w:rsid w:val="00A41E43"/>
    <w:rsid w:val="00A45399"/>
    <w:rsid w:val="00A4546E"/>
    <w:rsid w:val="00A5007A"/>
    <w:rsid w:val="00A528CE"/>
    <w:rsid w:val="00A53212"/>
    <w:rsid w:val="00A541C4"/>
    <w:rsid w:val="00A546ED"/>
    <w:rsid w:val="00A54715"/>
    <w:rsid w:val="00A54FAB"/>
    <w:rsid w:val="00A56412"/>
    <w:rsid w:val="00A610BF"/>
    <w:rsid w:val="00A61590"/>
    <w:rsid w:val="00A62FDA"/>
    <w:rsid w:val="00A6311A"/>
    <w:rsid w:val="00A63379"/>
    <w:rsid w:val="00A65CC8"/>
    <w:rsid w:val="00A72569"/>
    <w:rsid w:val="00A7279E"/>
    <w:rsid w:val="00A771BA"/>
    <w:rsid w:val="00A7757E"/>
    <w:rsid w:val="00A80AD9"/>
    <w:rsid w:val="00A81DC8"/>
    <w:rsid w:val="00A832D8"/>
    <w:rsid w:val="00A83EB2"/>
    <w:rsid w:val="00A84963"/>
    <w:rsid w:val="00A85A01"/>
    <w:rsid w:val="00A85A17"/>
    <w:rsid w:val="00A86453"/>
    <w:rsid w:val="00A90063"/>
    <w:rsid w:val="00A91AC2"/>
    <w:rsid w:val="00A92EC4"/>
    <w:rsid w:val="00A92F71"/>
    <w:rsid w:val="00A937F4"/>
    <w:rsid w:val="00A94ABC"/>
    <w:rsid w:val="00A955EE"/>
    <w:rsid w:val="00A97442"/>
    <w:rsid w:val="00A97CBB"/>
    <w:rsid w:val="00AA1596"/>
    <w:rsid w:val="00AA274B"/>
    <w:rsid w:val="00AA539C"/>
    <w:rsid w:val="00AB1866"/>
    <w:rsid w:val="00AB1BC5"/>
    <w:rsid w:val="00AB2B7D"/>
    <w:rsid w:val="00AB4AF3"/>
    <w:rsid w:val="00AB5061"/>
    <w:rsid w:val="00AB511C"/>
    <w:rsid w:val="00AB7FE0"/>
    <w:rsid w:val="00AC312F"/>
    <w:rsid w:val="00AC45A8"/>
    <w:rsid w:val="00AC540D"/>
    <w:rsid w:val="00AC5DB8"/>
    <w:rsid w:val="00AC7D45"/>
    <w:rsid w:val="00AD1584"/>
    <w:rsid w:val="00AD15CC"/>
    <w:rsid w:val="00AD2F3C"/>
    <w:rsid w:val="00AD2FDA"/>
    <w:rsid w:val="00AD3E8F"/>
    <w:rsid w:val="00AD45D8"/>
    <w:rsid w:val="00AD7CAC"/>
    <w:rsid w:val="00AE0E3E"/>
    <w:rsid w:val="00AE371D"/>
    <w:rsid w:val="00AE59AD"/>
    <w:rsid w:val="00AE6FF1"/>
    <w:rsid w:val="00AF0170"/>
    <w:rsid w:val="00AF11E5"/>
    <w:rsid w:val="00AF2CD6"/>
    <w:rsid w:val="00AF3E77"/>
    <w:rsid w:val="00AF434C"/>
    <w:rsid w:val="00AF4427"/>
    <w:rsid w:val="00AF52F1"/>
    <w:rsid w:val="00AF6051"/>
    <w:rsid w:val="00B03EEF"/>
    <w:rsid w:val="00B05EDF"/>
    <w:rsid w:val="00B074C5"/>
    <w:rsid w:val="00B075C8"/>
    <w:rsid w:val="00B10F54"/>
    <w:rsid w:val="00B1227C"/>
    <w:rsid w:val="00B167E0"/>
    <w:rsid w:val="00B16EAB"/>
    <w:rsid w:val="00B20766"/>
    <w:rsid w:val="00B22CA4"/>
    <w:rsid w:val="00B254D8"/>
    <w:rsid w:val="00B2599C"/>
    <w:rsid w:val="00B26A14"/>
    <w:rsid w:val="00B276ED"/>
    <w:rsid w:val="00B27940"/>
    <w:rsid w:val="00B27C97"/>
    <w:rsid w:val="00B3197A"/>
    <w:rsid w:val="00B31BC0"/>
    <w:rsid w:val="00B3314A"/>
    <w:rsid w:val="00B34897"/>
    <w:rsid w:val="00B37885"/>
    <w:rsid w:val="00B432C2"/>
    <w:rsid w:val="00B4369D"/>
    <w:rsid w:val="00B47C21"/>
    <w:rsid w:val="00B50163"/>
    <w:rsid w:val="00B50970"/>
    <w:rsid w:val="00B52F18"/>
    <w:rsid w:val="00B54443"/>
    <w:rsid w:val="00B56A3E"/>
    <w:rsid w:val="00B56BDA"/>
    <w:rsid w:val="00B56CA2"/>
    <w:rsid w:val="00B6079D"/>
    <w:rsid w:val="00B6151B"/>
    <w:rsid w:val="00B61E76"/>
    <w:rsid w:val="00B62DB0"/>
    <w:rsid w:val="00B63819"/>
    <w:rsid w:val="00B644ED"/>
    <w:rsid w:val="00B655D6"/>
    <w:rsid w:val="00B65629"/>
    <w:rsid w:val="00B6628C"/>
    <w:rsid w:val="00B6677F"/>
    <w:rsid w:val="00B70290"/>
    <w:rsid w:val="00B72900"/>
    <w:rsid w:val="00B72C70"/>
    <w:rsid w:val="00B73A6C"/>
    <w:rsid w:val="00B74485"/>
    <w:rsid w:val="00B74F5C"/>
    <w:rsid w:val="00B75DE4"/>
    <w:rsid w:val="00B7717C"/>
    <w:rsid w:val="00B77563"/>
    <w:rsid w:val="00B81ED3"/>
    <w:rsid w:val="00B82E6D"/>
    <w:rsid w:val="00B86C22"/>
    <w:rsid w:val="00B908D3"/>
    <w:rsid w:val="00B91BA5"/>
    <w:rsid w:val="00B94F90"/>
    <w:rsid w:val="00BA09B9"/>
    <w:rsid w:val="00BA15DA"/>
    <w:rsid w:val="00BA1BA0"/>
    <w:rsid w:val="00BA5AF0"/>
    <w:rsid w:val="00BA679F"/>
    <w:rsid w:val="00BA7EC6"/>
    <w:rsid w:val="00BB08DB"/>
    <w:rsid w:val="00BB166A"/>
    <w:rsid w:val="00BB370D"/>
    <w:rsid w:val="00BB4F90"/>
    <w:rsid w:val="00BB599B"/>
    <w:rsid w:val="00BB67E2"/>
    <w:rsid w:val="00BC0159"/>
    <w:rsid w:val="00BC35F7"/>
    <w:rsid w:val="00BC4749"/>
    <w:rsid w:val="00BC4B0C"/>
    <w:rsid w:val="00BC6579"/>
    <w:rsid w:val="00BD071F"/>
    <w:rsid w:val="00BD0C01"/>
    <w:rsid w:val="00BD3063"/>
    <w:rsid w:val="00BD39E1"/>
    <w:rsid w:val="00BD4715"/>
    <w:rsid w:val="00BD4F7D"/>
    <w:rsid w:val="00BD5FB7"/>
    <w:rsid w:val="00BD6EF4"/>
    <w:rsid w:val="00BE1D9D"/>
    <w:rsid w:val="00BE28FE"/>
    <w:rsid w:val="00BE35C2"/>
    <w:rsid w:val="00BE3AF1"/>
    <w:rsid w:val="00BE3FA6"/>
    <w:rsid w:val="00BE6897"/>
    <w:rsid w:val="00BF0161"/>
    <w:rsid w:val="00BF1186"/>
    <w:rsid w:val="00BF1531"/>
    <w:rsid w:val="00BF4DF8"/>
    <w:rsid w:val="00BF4FD0"/>
    <w:rsid w:val="00BF564B"/>
    <w:rsid w:val="00BF7B87"/>
    <w:rsid w:val="00C00F52"/>
    <w:rsid w:val="00C01E24"/>
    <w:rsid w:val="00C03463"/>
    <w:rsid w:val="00C03EFB"/>
    <w:rsid w:val="00C0490B"/>
    <w:rsid w:val="00C0580D"/>
    <w:rsid w:val="00C07B3C"/>
    <w:rsid w:val="00C101EF"/>
    <w:rsid w:val="00C10AA3"/>
    <w:rsid w:val="00C11BD6"/>
    <w:rsid w:val="00C127EC"/>
    <w:rsid w:val="00C12C5A"/>
    <w:rsid w:val="00C13034"/>
    <w:rsid w:val="00C16795"/>
    <w:rsid w:val="00C168E6"/>
    <w:rsid w:val="00C17F9B"/>
    <w:rsid w:val="00C25E01"/>
    <w:rsid w:val="00C26CA8"/>
    <w:rsid w:val="00C27360"/>
    <w:rsid w:val="00C31692"/>
    <w:rsid w:val="00C32F25"/>
    <w:rsid w:val="00C360EB"/>
    <w:rsid w:val="00C368F9"/>
    <w:rsid w:val="00C406B1"/>
    <w:rsid w:val="00C40970"/>
    <w:rsid w:val="00C409F6"/>
    <w:rsid w:val="00C40C90"/>
    <w:rsid w:val="00C46762"/>
    <w:rsid w:val="00C47290"/>
    <w:rsid w:val="00C4780B"/>
    <w:rsid w:val="00C47EA0"/>
    <w:rsid w:val="00C50279"/>
    <w:rsid w:val="00C5077F"/>
    <w:rsid w:val="00C50DF6"/>
    <w:rsid w:val="00C51091"/>
    <w:rsid w:val="00C518FE"/>
    <w:rsid w:val="00C5244F"/>
    <w:rsid w:val="00C535D9"/>
    <w:rsid w:val="00C5480E"/>
    <w:rsid w:val="00C55DDC"/>
    <w:rsid w:val="00C57832"/>
    <w:rsid w:val="00C60E5D"/>
    <w:rsid w:val="00C6162E"/>
    <w:rsid w:val="00C6308B"/>
    <w:rsid w:val="00C65212"/>
    <w:rsid w:val="00C70874"/>
    <w:rsid w:val="00C74BA9"/>
    <w:rsid w:val="00C75492"/>
    <w:rsid w:val="00C76A76"/>
    <w:rsid w:val="00C76C93"/>
    <w:rsid w:val="00C818F6"/>
    <w:rsid w:val="00C82AEF"/>
    <w:rsid w:val="00C82EB5"/>
    <w:rsid w:val="00C830DE"/>
    <w:rsid w:val="00C83169"/>
    <w:rsid w:val="00C8682C"/>
    <w:rsid w:val="00C940A4"/>
    <w:rsid w:val="00C951FC"/>
    <w:rsid w:val="00C97B71"/>
    <w:rsid w:val="00CA0391"/>
    <w:rsid w:val="00CA0908"/>
    <w:rsid w:val="00CA4972"/>
    <w:rsid w:val="00CA4D18"/>
    <w:rsid w:val="00CA5CB3"/>
    <w:rsid w:val="00CA608E"/>
    <w:rsid w:val="00CA6AE6"/>
    <w:rsid w:val="00CA7353"/>
    <w:rsid w:val="00CB126B"/>
    <w:rsid w:val="00CB49A2"/>
    <w:rsid w:val="00CB5B9C"/>
    <w:rsid w:val="00CB5E19"/>
    <w:rsid w:val="00CC1349"/>
    <w:rsid w:val="00CC14EC"/>
    <w:rsid w:val="00CC1706"/>
    <w:rsid w:val="00CC3D72"/>
    <w:rsid w:val="00CC5044"/>
    <w:rsid w:val="00CC5950"/>
    <w:rsid w:val="00CD040F"/>
    <w:rsid w:val="00CD2AE5"/>
    <w:rsid w:val="00CE016C"/>
    <w:rsid w:val="00CE12A7"/>
    <w:rsid w:val="00CE2AD5"/>
    <w:rsid w:val="00CE536D"/>
    <w:rsid w:val="00CE59E9"/>
    <w:rsid w:val="00CE5D5E"/>
    <w:rsid w:val="00CE79D0"/>
    <w:rsid w:val="00CF386E"/>
    <w:rsid w:val="00CF4317"/>
    <w:rsid w:val="00CF436D"/>
    <w:rsid w:val="00CF4917"/>
    <w:rsid w:val="00CF5FB9"/>
    <w:rsid w:val="00CF60E5"/>
    <w:rsid w:val="00CF6E12"/>
    <w:rsid w:val="00D03740"/>
    <w:rsid w:val="00D053FA"/>
    <w:rsid w:val="00D061DB"/>
    <w:rsid w:val="00D10D0A"/>
    <w:rsid w:val="00D1105D"/>
    <w:rsid w:val="00D113E8"/>
    <w:rsid w:val="00D14A79"/>
    <w:rsid w:val="00D22689"/>
    <w:rsid w:val="00D30998"/>
    <w:rsid w:val="00D34353"/>
    <w:rsid w:val="00D34AC4"/>
    <w:rsid w:val="00D42D15"/>
    <w:rsid w:val="00D44CE4"/>
    <w:rsid w:val="00D44D75"/>
    <w:rsid w:val="00D44F67"/>
    <w:rsid w:val="00D46EE1"/>
    <w:rsid w:val="00D470D1"/>
    <w:rsid w:val="00D50A93"/>
    <w:rsid w:val="00D50A9A"/>
    <w:rsid w:val="00D50BB6"/>
    <w:rsid w:val="00D51260"/>
    <w:rsid w:val="00D52AFF"/>
    <w:rsid w:val="00D53F7C"/>
    <w:rsid w:val="00D56E06"/>
    <w:rsid w:val="00D57890"/>
    <w:rsid w:val="00D63320"/>
    <w:rsid w:val="00D638E3"/>
    <w:rsid w:val="00D64753"/>
    <w:rsid w:val="00D72FC6"/>
    <w:rsid w:val="00D74399"/>
    <w:rsid w:val="00D74A6C"/>
    <w:rsid w:val="00D74A74"/>
    <w:rsid w:val="00D8023C"/>
    <w:rsid w:val="00D812DE"/>
    <w:rsid w:val="00D8142D"/>
    <w:rsid w:val="00D82940"/>
    <w:rsid w:val="00D84EEE"/>
    <w:rsid w:val="00D87A66"/>
    <w:rsid w:val="00D90684"/>
    <w:rsid w:val="00D90A7D"/>
    <w:rsid w:val="00D90E31"/>
    <w:rsid w:val="00D924D6"/>
    <w:rsid w:val="00D94A8D"/>
    <w:rsid w:val="00D95441"/>
    <w:rsid w:val="00D9675B"/>
    <w:rsid w:val="00D9696A"/>
    <w:rsid w:val="00D96981"/>
    <w:rsid w:val="00DA0EFD"/>
    <w:rsid w:val="00DA2601"/>
    <w:rsid w:val="00DA2CF9"/>
    <w:rsid w:val="00DA2DD1"/>
    <w:rsid w:val="00DA48E0"/>
    <w:rsid w:val="00DB0F09"/>
    <w:rsid w:val="00DB2C4D"/>
    <w:rsid w:val="00DB2EB2"/>
    <w:rsid w:val="00DB3CE7"/>
    <w:rsid w:val="00DB446C"/>
    <w:rsid w:val="00DB4F7C"/>
    <w:rsid w:val="00DB5A51"/>
    <w:rsid w:val="00DB7FEB"/>
    <w:rsid w:val="00DB7FF3"/>
    <w:rsid w:val="00DC0D2B"/>
    <w:rsid w:val="00DC11F1"/>
    <w:rsid w:val="00DC331D"/>
    <w:rsid w:val="00DC655C"/>
    <w:rsid w:val="00DC7C65"/>
    <w:rsid w:val="00DD472E"/>
    <w:rsid w:val="00DD47F0"/>
    <w:rsid w:val="00DD5423"/>
    <w:rsid w:val="00DD75F6"/>
    <w:rsid w:val="00DD7C50"/>
    <w:rsid w:val="00DD7DD1"/>
    <w:rsid w:val="00DE0224"/>
    <w:rsid w:val="00DE0546"/>
    <w:rsid w:val="00DE1FD1"/>
    <w:rsid w:val="00DE423A"/>
    <w:rsid w:val="00DE4386"/>
    <w:rsid w:val="00DE4A6A"/>
    <w:rsid w:val="00DE60E6"/>
    <w:rsid w:val="00DF0D36"/>
    <w:rsid w:val="00DF1977"/>
    <w:rsid w:val="00DF1F95"/>
    <w:rsid w:val="00DF3758"/>
    <w:rsid w:val="00DF3B2C"/>
    <w:rsid w:val="00DF6753"/>
    <w:rsid w:val="00DF755C"/>
    <w:rsid w:val="00E00E32"/>
    <w:rsid w:val="00E03B09"/>
    <w:rsid w:val="00E03C1A"/>
    <w:rsid w:val="00E0428F"/>
    <w:rsid w:val="00E06114"/>
    <w:rsid w:val="00E0710B"/>
    <w:rsid w:val="00E073CD"/>
    <w:rsid w:val="00E105E6"/>
    <w:rsid w:val="00E105F6"/>
    <w:rsid w:val="00E11A89"/>
    <w:rsid w:val="00E15251"/>
    <w:rsid w:val="00E15394"/>
    <w:rsid w:val="00E15471"/>
    <w:rsid w:val="00E16B76"/>
    <w:rsid w:val="00E17799"/>
    <w:rsid w:val="00E2140A"/>
    <w:rsid w:val="00E21963"/>
    <w:rsid w:val="00E2418D"/>
    <w:rsid w:val="00E3126B"/>
    <w:rsid w:val="00E324C3"/>
    <w:rsid w:val="00E3264F"/>
    <w:rsid w:val="00E33F87"/>
    <w:rsid w:val="00E3679C"/>
    <w:rsid w:val="00E370F6"/>
    <w:rsid w:val="00E3779D"/>
    <w:rsid w:val="00E401D7"/>
    <w:rsid w:val="00E41243"/>
    <w:rsid w:val="00E41FA1"/>
    <w:rsid w:val="00E4498D"/>
    <w:rsid w:val="00E46E13"/>
    <w:rsid w:val="00E510FB"/>
    <w:rsid w:val="00E51EDA"/>
    <w:rsid w:val="00E52272"/>
    <w:rsid w:val="00E53A1E"/>
    <w:rsid w:val="00E53E1B"/>
    <w:rsid w:val="00E54871"/>
    <w:rsid w:val="00E55B33"/>
    <w:rsid w:val="00E57E6E"/>
    <w:rsid w:val="00E629CE"/>
    <w:rsid w:val="00E62BD7"/>
    <w:rsid w:val="00E6383D"/>
    <w:rsid w:val="00E63F7E"/>
    <w:rsid w:val="00E6424C"/>
    <w:rsid w:val="00E67695"/>
    <w:rsid w:val="00E676CC"/>
    <w:rsid w:val="00E678A1"/>
    <w:rsid w:val="00E72B16"/>
    <w:rsid w:val="00E72C17"/>
    <w:rsid w:val="00E75F8D"/>
    <w:rsid w:val="00E767F6"/>
    <w:rsid w:val="00E768B8"/>
    <w:rsid w:val="00E84029"/>
    <w:rsid w:val="00E8413E"/>
    <w:rsid w:val="00E847DE"/>
    <w:rsid w:val="00E87213"/>
    <w:rsid w:val="00E96C6A"/>
    <w:rsid w:val="00EA2EA8"/>
    <w:rsid w:val="00EA3762"/>
    <w:rsid w:val="00EA7E25"/>
    <w:rsid w:val="00EB0B99"/>
    <w:rsid w:val="00EB6430"/>
    <w:rsid w:val="00EB7FC4"/>
    <w:rsid w:val="00EC09BA"/>
    <w:rsid w:val="00EC1079"/>
    <w:rsid w:val="00EC2232"/>
    <w:rsid w:val="00EC2CFF"/>
    <w:rsid w:val="00EC3BEF"/>
    <w:rsid w:val="00EC3CCB"/>
    <w:rsid w:val="00EC7F09"/>
    <w:rsid w:val="00ED058D"/>
    <w:rsid w:val="00ED0A72"/>
    <w:rsid w:val="00ED3016"/>
    <w:rsid w:val="00ED3052"/>
    <w:rsid w:val="00ED480E"/>
    <w:rsid w:val="00ED65A6"/>
    <w:rsid w:val="00EE01BC"/>
    <w:rsid w:val="00EE07A8"/>
    <w:rsid w:val="00EE1489"/>
    <w:rsid w:val="00EE2521"/>
    <w:rsid w:val="00EE2D95"/>
    <w:rsid w:val="00EE7384"/>
    <w:rsid w:val="00EF1B7B"/>
    <w:rsid w:val="00EF3C49"/>
    <w:rsid w:val="00EF4414"/>
    <w:rsid w:val="00EF677D"/>
    <w:rsid w:val="00EF7C1B"/>
    <w:rsid w:val="00EF7CAC"/>
    <w:rsid w:val="00F011C2"/>
    <w:rsid w:val="00F02436"/>
    <w:rsid w:val="00F02BAD"/>
    <w:rsid w:val="00F02C30"/>
    <w:rsid w:val="00F04E8F"/>
    <w:rsid w:val="00F072AF"/>
    <w:rsid w:val="00F07F3F"/>
    <w:rsid w:val="00F121E6"/>
    <w:rsid w:val="00F146E1"/>
    <w:rsid w:val="00F160F0"/>
    <w:rsid w:val="00F16B28"/>
    <w:rsid w:val="00F16BA4"/>
    <w:rsid w:val="00F17E08"/>
    <w:rsid w:val="00F2217A"/>
    <w:rsid w:val="00F229D9"/>
    <w:rsid w:val="00F23C36"/>
    <w:rsid w:val="00F240F3"/>
    <w:rsid w:val="00F24C32"/>
    <w:rsid w:val="00F311D1"/>
    <w:rsid w:val="00F3131B"/>
    <w:rsid w:val="00F3206C"/>
    <w:rsid w:val="00F36561"/>
    <w:rsid w:val="00F37EC5"/>
    <w:rsid w:val="00F405D7"/>
    <w:rsid w:val="00F40ACF"/>
    <w:rsid w:val="00F4154F"/>
    <w:rsid w:val="00F41A89"/>
    <w:rsid w:val="00F44B6E"/>
    <w:rsid w:val="00F46740"/>
    <w:rsid w:val="00F504CE"/>
    <w:rsid w:val="00F50542"/>
    <w:rsid w:val="00F51FD7"/>
    <w:rsid w:val="00F57AD8"/>
    <w:rsid w:val="00F6106B"/>
    <w:rsid w:val="00F6186C"/>
    <w:rsid w:val="00F6562C"/>
    <w:rsid w:val="00F6612F"/>
    <w:rsid w:val="00F66B36"/>
    <w:rsid w:val="00F71A8D"/>
    <w:rsid w:val="00F720DB"/>
    <w:rsid w:val="00F74BD8"/>
    <w:rsid w:val="00F77108"/>
    <w:rsid w:val="00F80BBF"/>
    <w:rsid w:val="00F82CD9"/>
    <w:rsid w:val="00F83F1B"/>
    <w:rsid w:val="00F849C6"/>
    <w:rsid w:val="00F85E50"/>
    <w:rsid w:val="00F85F8D"/>
    <w:rsid w:val="00F86766"/>
    <w:rsid w:val="00F86891"/>
    <w:rsid w:val="00F90287"/>
    <w:rsid w:val="00F9191E"/>
    <w:rsid w:val="00F9287B"/>
    <w:rsid w:val="00F94F69"/>
    <w:rsid w:val="00F95E82"/>
    <w:rsid w:val="00FA20BE"/>
    <w:rsid w:val="00FA2AFF"/>
    <w:rsid w:val="00FA42B8"/>
    <w:rsid w:val="00FA490B"/>
    <w:rsid w:val="00FA7F97"/>
    <w:rsid w:val="00FB0EA4"/>
    <w:rsid w:val="00FB18E4"/>
    <w:rsid w:val="00FB3BF2"/>
    <w:rsid w:val="00FB59F1"/>
    <w:rsid w:val="00FB618B"/>
    <w:rsid w:val="00FB73B9"/>
    <w:rsid w:val="00FB786C"/>
    <w:rsid w:val="00FC004C"/>
    <w:rsid w:val="00FC082C"/>
    <w:rsid w:val="00FC2706"/>
    <w:rsid w:val="00FC3AE6"/>
    <w:rsid w:val="00FD056A"/>
    <w:rsid w:val="00FD1624"/>
    <w:rsid w:val="00FD3A1A"/>
    <w:rsid w:val="00FD4339"/>
    <w:rsid w:val="00FD6318"/>
    <w:rsid w:val="00FE1F71"/>
    <w:rsid w:val="00FF34AA"/>
    <w:rsid w:val="00FF3A44"/>
    <w:rsid w:val="00FF4F7C"/>
    <w:rsid w:val="00FF67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C7D2A"/>
  <w15:docId w15:val="{B90CDEC3-0219-4B87-B48C-584B93BC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F6"/>
    <w:pPr>
      <w:spacing w:after="130" w:line="260" w:lineRule="atLeast"/>
    </w:pPr>
    <w:rPr>
      <w:rFonts w:ascii="Verdana" w:hAnsi="Verdana"/>
      <w:sz w:val="18"/>
      <w:szCs w:val="24"/>
      <w:lang w:val="nl-BE" w:eastAsia="zh-TW"/>
    </w:rPr>
  </w:style>
  <w:style w:type="paragraph" w:styleId="Titre1">
    <w:name w:val="heading 1"/>
    <w:aliases w:val="Section Heading"/>
    <w:basedOn w:val="Normal"/>
    <w:next w:val="Normal"/>
    <w:qFormat/>
    <w:rsid w:val="00E767F6"/>
    <w:pPr>
      <w:keepNext/>
      <w:spacing w:before="510" w:after="113" w:line="380" w:lineRule="atLeast"/>
      <w:outlineLvl w:val="0"/>
    </w:pPr>
    <w:rPr>
      <w:rFonts w:cs="Arial"/>
      <w:bCs/>
      <w:kern w:val="32"/>
      <w:sz w:val="30"/>
      <w:szCs w:val="32"/>
    </w:rPr>
  </w:style>
  <w:style w:type="paragraph" w:styleId="Titre2">
    <w:name w:val="heading 2"/>
    <w:basedOn w:val="Normal"/>
    <w:next w:val="Normal"/>
    <w:qFormat/>
    <w:rsid w:val="00E767F6"/>
    <w:pPr>
      <w:keepNext/>
      <w:spacing w:before="227" w:after="20" w:line="288" w:lineRule="atLeast"/>
      <w:outlineLvl w:val="1"/>
    </w:pPr>
    <w:rPr>
      <w:rFonts w:cs="Arial"/>
      <w:bCs/>
      <w:iCs/>
      <w:sz w:val="24"/>
      <w:szCs w:val="28"/>
    </w:rPr>
  </w:style>
  <w:style w:type="paragraph" w:styleId="Titre3">
    <w:name w:val="heading 3"/>
    <w:basedOn w:val="Normal"/>
    <w:next w:val="Normal"/>
    <w:qFormat/>
    <w:rsid w:val="00E767F6"/>
    <w:pPr>
      <w:keepNext/>
      <w:spacing w:before="240" w:after="60"/>
      <w:outlineLvl w:val="2"/>
    </w:pPr>
    <w:rPr>
      <w:rFonts w:cs="Arial"/>
      <w:bCs/>
      <w:sz w:val="20"/>
      <w:szCs w:val="26"/>
    </w:rPr>
  </w:style>
  <w:style w:type="paragraph" w:styleId="Titre4">
    <w:name w:val="heading 4"/>
    <w:basedOn w:val="Normal"/>
    <w:next w:val="Normal"/>
    <w:qFormat/>
    <w:rsid w:val="00E767F6"/>
    <w:pPr>
      <w:keepNext/>
      <w:spacing w:before="240" w:after="60"/>
      <w:outlineLvl w:val="3"/>
    </w:pPr>
    <w:rPr>
      <w:sz w:val="20"/>
      <w:szCs w:val="20"/>
      <w:lang w:val="fr-FR"/>
    </w:rPr>
  </w:style>
  <w:style w:type="paragraph" w:styleId="Titre5">
    <w:name w:val="heading 5"/>
    <w:basedOn w:val="Normal"/>
    <w:next w:val="Normal"/>
    <w:qFormat/>
    <w:rsid w:val="00E767F6"/>
    <w:pPr>
      <w:tabs>
        <w:tab w:val="left" w:pos="1105"/>
      </w:tabs>
      <w:spacing w:before="240" w:after="60"/>
      <w:outlineLvl w:val="4"/>
    </w:pPr>
    <w:rPr>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767F6"/>
    <w:pPr>
      <w:tabs>
        <w:tab w:val="center" w:pos="4153"/>
        <w:tab w:val="right" w:pos="8306"/>
      </w:tabs>
      <w:spacing w:after="0" w:line="240" w:lineRule="atLeast"/>
    </w:pPr>
    <w:rPr>
      <w:sz w:val="16"/>
    </w:rPr>
  </w:style>
  <w:style w:type="character" w:styleId="Appeldenotedefin">
    <w:name w:val="endnote reference"/>
    <w:basedOn w:val="Policepardfaut"/>
    <w:semiHidden/>
    <w:rsid w:val="00E767F6"/>
    <w:rPr>
      <w:rFonts w:ascii="Verdana" w:hAnsi="Verdana"/>
      <w:vertAlign w:val="superscript"/>
      <w:lang w:val="nl-NL"/>
    </w:rPr>
  </w:style>
  <w:style w:type="paragraph" w:styleId="Signaturelectronique">
    <w:name w:val="E-mail Signature"/>
    <w:basedOn w:val="Normal"/>
    <w:rsid w:val="00E767F6"/>
  </w:style>
  <w:style w:type="character" w:styleId="Lienhypertextesuivivisit">
    <w:name w:val="FollowedHyperlink"/>
    <w:basedOn w:val="Policepardfaut"/>
    <w:rsid w:val="00E767F6"/>
    <w:rPr>
      <w:rFonts w:ascii="Verdana" w:hAnsi="Verdana"/>
      <w:color w:val="auto"/>
      <w:u w:val="single"/>
    </w:rPr>
  </w:style>
  <w:style w:type="character" w:styleId="Lienhypertexte">
    <w:name w:val="Hyperlink"/>
    <w:basedOn w:val="Policepardfaut"/>
    <w:uiPriority w:val="99"/>
    <w:rsid w:val="00E767F6"/>
    <w:rPr>
      <w:rFonts w:ascii="Verdana" w:hAnsi="Verdana"/>
      <w:color w:val="auto"/>
      <w:u w:val="single"/>
    </w:rPr>
  </w:style>
  <w:style w:type="paragraph" w:styleId="Adresseexpditeur">
    <w:name w:val="envelope return"/>
    <w:basedOn w:val="Normal"/>
    <w:rsid w:val="00E767F6"/>
    <w:rPr>
      <w:rFonts w:ascii="Arial" w:hAnsi="Arial" w:cs="Arial"/>
      <w:sz w:val="20"/>
      <w:szCs w:val="20"/>
    </w:rPr>
  </w:style>
  <w:style w:type="paragraph" w:customStyle="1" w:styleId="Documenttype">
    <w:name w:val="Document type"/>
    <w:basedOn w:val="Titre"/>
    <w:rsid w:val="00E767F6"/>
    <w:rPr>
      <w:sz w:val="46"/>
    </w:rPr>
  </w:style>
  <w:style w:type="paragraph" w:styleId="Titre">
    <w:name w:val="Title"/>
    <w:basedOn w:val="Normal"/>
    <w:qFormat/>
    <w:rsid w:val="00E767F6"/>
    <w:pPr>
      <w:spacing w:after="113" w:line="410" w:lineRule="atLeast"/>
      <w:outlineLvl w:val="0"/>
    </w:pPr>
    <w:rPr>
      <w:rFonts w:cs="Arial"/>
      <w:bCs/>
      <w:kern w:val="28"/>
      <w:sz w:val="34"/>
      <w:szCs w:val="32"/>
    </w:rPr>
  </w:style>
  <w:style w:type="paragraph" w:styleId="En-ttedemessage">
    <w:name w:val="Message Header"/>
    <w:basedOn w:val="Normal"/>
    <w:rsid w:val="00E767F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Index1">
    <w:name w:val="index 1"/>
    <w:basedOn w:val="Normal"/>
    <w:next w:val="Normal"/>
    <w:autoRedefine/>
    <w:semiHidden/>
    <w:rsid w:val="00E767F6"/>
    <w:pPr>
      <w:ind w:left="180" w:hanging="180"/>
    </w:pPr>
  </w:style>
  <w:style w:type="paragraph" w:styleId="Titreindex">
    <w:name w:val="index heading"/>
    <w:basedOn w:val="Normal"/>
    <w:next w:val="Index1"/>
    <w:semiHidden/>
    <w:rsid w:val="00E767F6"/>
    <w:rPr>
      <w:rFonts w:cs="Arial"/>
      <w:b/>
      <w:bCs/>
    </w:rPr>
  </w:style>
  <w:style w:type="paragraph" w:styleId="TitreTR">
    <w:name w:val="toa heading"/>
    <w:basedOn w:val="Normal"/>
    <w:next w:val="Normal"/>
    <w:semiHidden/>
    <w:rsid w:val="00E767F6"/>
    <w:pPr>
      <w:spacing w:before="120"/>
    </w:pPr>
    <w:rPr>
      <w:rFonts w:cs="Arial"/>
      <w:b/>
      <w:bCs/>
      <w:sz w:val="24"/>
    </w:rPr>
  </w:style>
  <w:style w:type="character" w:styleId="Accentuation">
    <w:name w:val="Emphasis"/>
    <w:basedOn w:val="Policepardfaut"/>
    <w:qFormat/>
    <w:rsid w:val="00E767F6"/>
    <w:rPr>
      <w:rFonts w:ascii="Verdana" w:hAnsi="Verdana"/>
      <w:i/>
      <w:iCs/>
    </w:rPr>
  </w:style>
  <w:style w:type="character" w:styleId="Numrodepage">
    <w:name w:val="page number"/>
    <w:basedOn w:val="Policepardfaut"/>
    <w:rsid w:val="00E767F6"/>
    <w:rPr>
      <w:rFonts w:ascii="Verdana" w:hAnsi="Verdana"/>
      <w:sz w:val="16"/>
    </w:rPr>
  </w:style>
  <w:style w:type="paragraph" w:styleId="Sous-titre">
    <w:name w:val="Subtitle"/>
    <w:basedOn w:val="Normal"/>
    <w:qFormat/>
    <w:rsid w:val="00E767F6"/>
    <w:pPr>
      <w:spacing w:after="60" w:line="296" w:lineRule="atLeast"/>
      <w:outlineLvl w:val="1"/>
    </w:pPr>
    <w:rPr>
      <w:rFonts w:cs="Arial"/>
      <w:sz w:val="24"/>
    </w:rPr>
  </w:style>
  <w:style w:type="character" w:styleId="Marquedecommentaire">
    <w:name w:val="annotation reference"/>
    <w:basedOn w:val="Policepardfaut"/>
    <w:uiPriority w:val="99"/>
    <w:rsid w:val="00E767F6"/>
    <w:rPr>
      <w:rFonts w:ascii="Verdana" w:hAnsi="Verdana"/>
      <w:sz w:val="16"/>
      <w:szCs w:val="16"/>
    </w:rPr>
  </w:style>
  <w:style w:type="character" w:styleId="Appelnotedebasdep">
    <w:name w:val="footnote reference"/>
    <w:basedOn w:val="Policepardfaut"/>
    <w:semiHidden/>
    <w:rsid w:val="00E767F6"/>
    <w:rPr>
      <w:rFonts w:ascii="Verdana" w:hAnsi="Verdana"/>
      <w:vertAlign w:val="superscript"/>
    </w:rPr>
  </w:style>
  <w:style w:type="character" w:styleId="lev">
    <w:name w:val="Strong"/>
    <w:basedOn w:val="Policepardfaut"/>
    <w:qFormat/>
    <w:rsid w:val="00E767F6"/>
    <w:rPr>
      <w:rFonts w:ascii="Verdana" w:hAnsi="Verdana"/>
      <w:b/>
      <w:bCs/>
    </w:rPr>
  </w:style>
  <w:style w:type="paragraph" w:styleId="Listepuces">
    <w:name w:val="List Bullet"/>
    <w:basedOn w:val="Normal"/>
    <w:rsid w:val="00E767F6"/>
    <w:pPr>
      <w:numPr>
        <w:numId w:val="1"/>
      </w:numPr>
      <w:spacing w:after="0"/>
    </w:pPr>
    <w:rPr>
      <w:lang w:val="fr-FR"/>
    </w:rPr>
  </w:style>
  <w:style w:type="paragraph" w:styleId="Listepuces2">
    <w:name w:val="List Bullet 2"/>
    <w:basedOn w:val="Normal"/>
    <w:rsid w:val="00E767F6"/>
    <w:pPr>
      <w:numPr>
        <w:ilvl w:val="1"/>
        <w:numId w:val="1"/>
      </w:numPr>
      <w:spacing w:after="0"/>
    </w:pPr>
    <w:rPr>
      <w:lang w:val="en-GB"/>
    </w:rPr>
  </w:style>
  <w:style w:type="paragraph" w:styleId="Listepuces3">
    <w:name w:val="List Bullet 3"/>
    <w:basedOn w:val="Normal"/>
    <w:rsid w:val="00E767F6"/>
    <w:pPr>
      <w:numPr>
        <w:ilvl w:val="2"/>
        <w:numId w:val="1"/>
      </w:numPr>
      <w:spacing w:after="0"/>
    </w:pPr>
    <w:rPr>
      <w:lang w:val="en-GB"/>
    </w:rPr>
  </w:style>
  <w:style w:type="paragraph" w:styleId="Pieddepage">
    <w:name w:val="footer"/>
    <w:basedOn w:val="Normal"/>
    <w:link w:val="PieddepageCar"/>
    <w:uiPriority w:val="99"/>
    <w:rsid w:val="00E767F6"/>
    <w:pPr>
      <w:tabs>
        <w:tab w:val="center" w:pos="4153"/>
        <w:tab w:val="right" w:pos="8306"/>
      </w:tabs>
      <w:spacing w:after="0" w:line="240" w:lineRule="atLeast"/>
    </w:pPr>
    <w:rPr>
      <w:sz w:val="16"/>
    </w:rPr>
  </w:style>
  <w:style w:type="paragraph" w:styleId="Notedebasdepage">
    <w:name w:val="footnote text"/>
    <w:aliases w:val="Footnotetext"/>
    <w:basedOn w:val="Normal"/>
    <w:link w:val="NotedebasdepageCar"/>
    <w:semiHidden/>
    <w:rsid w:val="00E767F6"/>
    <w:pPr>
      <w:spacing w:after="0" w:line="240" w:lineRule="atLeast"/>
    </w:pPr>
    <w:rPr>
      <w:sz w:val="16"/>
      <w:szCs w:val="20"/>
    </w:rPr>
  </w:style>
  <w:style w:type="paragraph" w:styleId="Notedefin">
    <w:name w:val="endnote text"/>
    <w:basedOn w:val="Normal"/>
    <w:semiHidden/>
    <w:rsid w:val="00E767F6"/>
    <w:pPr>
      <w:spacing w:after="0" w:line="240" w:lineRule="atLeast"/>
    </w:pPr>
    <w:rPr>
      <w:sz w:val="16"/>
      <w:szCs w:val="20"/>
    </w:rPr>
  </w:style>
  <w:style w:type="paragraph" w:customStyle="1" w:styleId="Tabeltekst">
    <w:name w:val="Tabeltekst"/>
    <w:basedOn w:val="Normal"/>
    <w:rsid w:val="00E767F6"/>
    <w:pPr>
      <w:spacing w:after="0"/>
    </w:pPr>
  </w:style>
  <w:style w:type="paragraph" w:styleId="Corpsdetexte">
    <w:name w:val="Body Text"/>
    <w:basedOn w:val="Normal"/>
    <w:rsid w:val="00E767F6"/>
    <w:pPr>
      <w:spacing w:after="0"/>
    </w:pPr>
  </w:style>
  <w:style w:type="paragraph" w:styleId="Listenumros">
    <w:name w:val="List Number"/>
    <w:basedOn w:val="Normal"/>
    <w:rsid w:val="00E767F6"/>
    <w:pPr>
      <w:spacing w:after="0"/>
    </w:pPr>
  </w:style>
  <w:style w:type="paragraph" w:styleId="Listenumros2">
    <w:name w:val="List Number 2"/>
    <w:basedOn w:val="Normal"/>
    <w:rsid w:val="00E767F6"/>
    <w:pPr>
      <w:spacing w:after="0"/>
    </w:pPr>
  </w:style>
  <w:style w:type="paragraph" w:styleId="Listenumros3">
    <w:name w:val="List Number 3"/>
    <w:basedOn w:val="Normal"/>
    <w:rsid w:val="00E767F6"/>
    <w:pPr>
      <w:spacing w:after="0"/>
    </w:pPr>
  </w:style>
  <w:style w:type="paragraph" w:styleId="TM1">
    <w:name w:val="toc 1"/>
    <w:basedOn w:val="Normal"/>
    <w:next w:val="Normal"/>
    <w:autoRedefine/>
    <w:uiPriority w:val="39"/>
    <w:rsid w:val="00E767F6"/>
  </w:style>
  <w:style w:type="paragraph" w:styleId="TM2">
    <w:name w:val="toc 2"/>
    <w:basedOn w:val="Normal"/>
    <w:next w:val="Normal"/>
    <w:autoRedefine/>
    <w:uiPriority w:val="39"/>
    <w:rsid w:val="008415F1"/>
    <w:pPr>
      <w:tabs>
        <w:tab w:val="right" w:leader="dot" w:pos="9060"/>
      </w:tabs>
      <w:ind w:left="181"/>
    </w:pPr>
  </w:style>
  <w:style w:type="paragraph" w:styleId="TM3">
    <w:name w:val="toc 3"/>
    <w:basedOn w:val="Normal"/>
    <w:next w:val="Normal"/>
    <w:autoRedefine/>
    <w:uiPriority w:val="39"/>
    <w:rsid w:val="00C6162E"/>
    <w:pPr>
      <w:tabs>
        <w:tab w:val="right" w:leader="dot" w:pos="9060"/>
      </w:tabs>
      <w:ind w:left="360"/>
    </w:pPr>
  </w:style>
  <w:style w:type="paragraph" w:styleId="Textedebulles">
    <w:name w:val="Balloon Text"/>
    <w:basedOn w:val="Normal"/>
    <w:semiHidden/>
    <w:rsid w:val="00E767F6"/>
    <w:rPr>
      <w:rFonts w:ascii="Tahoma" w:hAnsi="Tahoma" w:cs="Tahoma"/>
      <w:sz w:val="16"/>
      <w:szCs w:val="16"/>
    </w:rPr>
  </w:style>
  <w:style w:type="paragraph" w:styleId="Commentaire">
    <w:name w:val="annotation text"/>
    <w:basedOn w:val="Normal"/>
    <w:link w:val="CommentaireCar"/>
    <w:rsid w:val="007C0A4F"/>
    <w:rPr>
      <w:sz w:val="20"/>
      <w:szCs w:val="20"/>
    </w:rPr>
  </w:style>
  <w:style w:type="character" w:customStyle="1" w:styleId="CommentaireCar">
    <w:name w:val="Commentaire Car"/>
    <w:basedOn w:val="Policepardfaut"/>
    <w:link w:val="Commentaire"/>
    <w:rsid w:val="007C0A4F"/>
    <w:rPr>
      <w:rFonts w:ascii="Verdana" w:hAnsi="Verdana"/>
      <w:lang w:val="nl-BE" w:eastAsia="zh-TW"/>
    </w:rPr>
  </w:style>
  <w:style w:type="paragraph" w:styleId="Objetducommentaire">
    <w:name w:val="annotation subject"/>
    <w:basedOn w:val="Commentaire"/>
    <w:next w:val="Commentaire"/>
    <w:link w:val="ObjetducommentaireCar"/>
    <w:rsid w:val="007C0A4F"/>
    <w:rPr>
      <w:b/>
      <w:bCs/>
    </w:rPr>
  </w:style>
  <w:style w:type="character" w:customStyle="1" w:styleId="ObjetducommentaireCar">
    <w:name w:val="Objet du commentaire Car"/>
    <w:basedOn w:val="CommentaireCar"/>
    <w:link w:val="Objetducommentaire"/>
    <w:rsid w:val="007C0A4F"/>
    <w:rPr>
      <w:rFonts w:ascii="Verdana" w:hAnsi="Verdana"/>
      <w:b/>
      <w:bCs/>
      <w:lang w:val="nl-BE" w:eastAsia="zh-TW"/>
    </w:rPr>
  </w:style>
  <w:style w:type="table" w:styleId="Grilledutableau">
    <w:name w:val="Table Grid"/>
    <w:basedOn w:val="TableauNormal"/>
    <w:rsid w:val="00512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3775A"/>
    <w:pPr>
      <w:ind w:left="720"/>
      <w:contextualSpacing/>
    </w:pPr>
  </w:style>
  <w:style w:type="character" w:customStyle="1" w:styleId="med11">
    <w:name w:val="med11"/>
    <w:basedOn w:val="Policepardfaut"/>
    <w:rsid w:val="005E7422"/>
    <w:rPr>
      <w:sz w:val="18"/>
      <w:szCs w:val="18"/>
    </w:rPr>
  </w:style>
  <w:style w:type="character" w:customStyle="1" w:styleId="NotedebasdepageCar">
    <w:name w:val="Note de bas de page Car"/>
    <w:aliases w:val="Footnotetext Car"/>
    <w:basedOn w:val="Policepardfaut"/>
    <w:link w:val="Notedebasdepage"/>
    <w:semiHidden/>
    <w:rsid w:val="003F6C03"/>
    <w:rPr>
      <w:rFonts w:ascii="Verdana" w:hAnsi="Verdana"/>
      <w:sz w:val="16"/>
      <w:lang w:val="nl-BE" w:eastAsia="zh-TW"/>
    </w:rPr>
  </w:style>
  <w:style w:type="paragraph" w:styleId="Rvision">
    <w:name w:val="Revision"/>
    <w:hidden/>
    <w:uiPriority w:val="99"/>
    <w:semiHidden/>
    <w:rsid w:val="00412BE5"/>
    <w:rPr>
      <w:rFonts w:ascii="Verdana" w:hAnsi="Verdana"/>
      <w:sz w:val="18"/>
      <w:szCs w:val="24"/>
      <w:lang w:val="nl-BE" w:eastAsia="zh-TW"/>
    </w:rPr>
  </w:style>
  <w:style w:type="paragraph" w:styleId="TM8">
    <w:name w:val="toc 8"/>
    <w:basedOn w:val="Normal"/>
    <w:next w:val="Normal"/>
    <w:autoRedefine/>
    <w:semiHidden/>
    <w:unhideWhenUsed/>
    <w:rsid w:val="004708EC"/>
    <w:pPr>
      <w:spacing w:after="100"/>
      <w:ind w:left="1260"/>
    </w:pPr>
  </w:style>
  <w:style w:type="paragraph" w:customStyle="1" w:styleId="BodyText1">
    <w:name w:val="Body Text1"/>
    <w:basedOn w:val="Normal"/>
    <w:rsid w:val="003D47E1"/>
    <w:pPr>
      <w:spacing w:after="60" w:line="240" w:lineRule="auto"/>
    </w:pPr>
    <w:rPr>
      <w:rFonts w:ascii="FlandersArtSerif-Regular" w:eastAsia="Times New Roman" w:hAnsi="FlandersArtSerif-Regular"/>
      <w:color w:val="1D1B11"/>
      <w:sz w:val="22"/>
      <w:szCs w:val="22"/>
      <w:lang w:val="nl-NL" w:eastAsia="nl-NL"/>
    </w:rPr>
  </w:style>
  <w:style w:type="character" w:customStyle="1" w:styleId="PieddepageCar">
    <w:name w:val="Pied de page Car"/>
    <w:basedOn w:val="Policepardfaut"/>
    <w:link w:val="Pieddepage"/>
    <w:uiPriority w:val="99"/>
    <w:rsid w:val="00890802"/>
    <w:rPr>
      <w:rFonts w:ascii="Verdana" w:hAnsi="Verdana"/>
      <w:sz w:val="16"/>
      <w:szCs w:val="24"/>
      <w:lang w:val="nl-BE" w:eastAsia="zh-TW"/>
    </w:rPr>
  </w:style>
  <w:style w:type="paragraph" w:customStyle="1" w:styleId="Titre5template">
    <w:name w:val="Titre 5 template"/>
    <w:basedOn w:val="Normal"/>
    <w:qFormat/>
    <w:rsid w:val="007A2736"/>
    <w:pPr>
      <w:spacing w:before="240" w:after="60" w:line="240" w:lineRule="auto"/>
      <w:ind w:left="2436" w:hanging="648"/>
    </w:pPr>
    <w:rPr>
      <w:rFonts w:ascii="Calibri" w:eastAsia="Times New Roman" w:hAnsi="Calibri"/>
      <w:sz w:val="20"/>
      <w:szCs w:val="20"/>
      <w:lang w:val="fr-FR" w:eastAsia="nl-NL"/>
    </w:rPr>
  </w:style>
  <w:style w:type="paragraph" w:styleId="Retraitcorpsdetexte">
    <w:name w:val="Body Text Indent"/>
    <w:basedOn w:val="Normal"/>
    <w:link w:val="RetraitcorpsdetexteCar"/>
    <w:semiHidden/>
    <w:unhideWhenUsed/>
    <w:rsid w:val="001617B2"/>
    <w:pPr>
      <w:spacing w:after="120"/>
      <w:ind w:left="283"/>
    </w:pPr>
  </w:style>
  <w:style w:type="character" w:customStyle="1" w:styleId="RetraitcorpsdetexteCar">
    <w:name w:val="Retrait corps de texte Car"/>
    <w:basedOn w:val="Policepardfaut"/>
    <w:link w:val="Retraitcorpsdetexte"/>
    <w:semiHidden/>
    <w:rsid w:val="001617B2"/>
    <w:rPr>
      <w:rFonts w:ascii="Verdana" w:hAnsi="Verdana"/>
      <w:sz w:val="18"/>
      <w:szCs w:val="24"/>
      <w:lang w:val="nl-BE" w:eastAsia="zh-TW"/>
    </w:rPr>
  </w:style>
  <w:style w:type="paragraph" w:styleId="Corpsdetexte3">
    <w:name w:val="Body Text 3"/>
    <w:basedOn w:val="Normal"/>
    <w:link w:val="Corpsdetexte3Car"/>
    <w:semiHidden/>
    <w:unhideWhenUsed/>
    <w:rsid w:val="001617B2"/>
    <w:pPr>
      <w:spacing w:after="120"/>
    </w:pPr>
    <w:rPr>
      <w:sz w:val="16"/>
      <w:szCs w:val="16"/>
    </w:rPr>
  </w:style>
  <w:style w:type="character" w:customStyle="1" w:styleId="Corpsdetexte3Car">
    <w:name w:val="Corps de texte 3 Car"/>
    <w:basedOn w:val="Policepardfaut"/>
    <w:link w:val="Corpsdetexte3"/>
    <w:semiHidden/>
    <w:rsid w:val="001617B2"/>
    <w:rPr>
      <w:rFonts w:ascii="Verdana" w:hAnsi="Verdana"/>
      <w:sz w:val="16"/>
      <w:szCs w:val="16"/>
      <w:lang w:val="nl-B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1867">
      <w:bodyDiv w:val="1"/>
      <w:marLeft w:val="0"/>
      <w:marRight w:val="0"/>
      <w:marTop w:val="0"/>
      <w:marBottom w:val="0"/>
      <w:divBdr>
        <w:top w:val="none" w:sz="0" w:space="0" w:color="auto"/>
        <w:left w:val="none" w:sz="0" w:space="0" w:color="auto"/>
        <w:bottom w:val="none" w:sz="0" w:space="0" w:color="auto"/>
        <w:right w:val="none" w:sz="0" w:space="0" w:color="auto"/>
      </w:divBdr>
    </w:div>
    <w:div w:id="507643000">
      <w:bodyDiv w:val="1"/>
      <w:marLeft w:val="0"/>
      <w:marRight w:val="0"/>
      <w:marTop w:val="0"/>
      <w:marBottom w:val="0"/>
      <w:divBdr>
        <w:top w:val="none" w:sz="0" w:space="0" w:color="auto"/>
        <w:left w:val="none" w:sz="0" w:space="0" w:color="auto"/>
        <w:bottom w:val="none" w:sz="0" w:space="0" w:color="auto"/>
        <w:right w:val="none" w:sz="0" w:space="0" w:color="auto"/>
      </w:divBdr>
    </w:div>
    <w:div w:id="957370566">
      <w:bodyDiv w:val="1"/>
      <w:marLeft w:val="0"/>
      <w:marRight w:val="0"/>
      <w:marTop w:val="0"/>
      <w:marBottom w:val="0"/>
      <w:divBdr>
        <w:top w:val="none" w:sz="0" w:space="0" w:color="auto"/>
        <w:left w:val="none" w:sz="0" w:space="0" w:color="auto"/>
        <w:bottom w:val="none" w:sz="0" w:space="0" w:color="auto"/>
        <w:right w:val="none" w:sz="0" w:space="0" w:color="auto"/>
      </w:divBdr>
    </w:div>
    <w:div w:id="1250699216">
      <w:bodyDiv w:val="1"/>
      <w:marLeft w:val="0"/>
      <w:marRight w:val="0"/>
      <w:marTop w:val="0"/>
      <w:marBottom w:val="0"/>
      <w:divBdr>
        <w:top w:val="none" w:sz="0" w:space="0" w:color="auto"/>
        <w:left w:val="none" w:sz="0" w:space="0" w:color="auto"/>
        <w:bottom w:val="none" w:sz="0" w:space="0" w:color="auto"/>
        <w:right w:val="none" w:sz="0" w:space="0" w:color="auto"/>
      </w:divBdr>
    </w:div>
    <w:div w:id="1593202154">
      <w:bodyDiv w:val="1"/>
      <w:marLeft w:val="0"/>
      <w:marRight w:val="0"/>
      <w:marTop w:val="0"/>
      <w:marBottom w:val="0"/>
      <w:divBdr>
        <w:top w:val="none" w:sz="0" w:space="0" w:color="auto"/>
        <w:left w:val="none" w:sz="0" w:space="0" w:color="auto"/>
        <w:bottom w:val="none" w:sz="0" w:space="0" w:color="auto"/>
        <w:right w:val="none" w:sz="0" w:space="0" w:color="auto"/>
      </w:divBdr>
    </w:div>
    <w:div w:id="1689063305">
      <w:bodyDiv w:val="1"/>
      <w:marLeft w:val="0"/>
      <w:marRight w:val="0"/>
      <w:marTop w:val="0"/>
      <w:marBottom w:val="0"/>
      <w:divBdr>
        <w:top w:val="none" w:sz="0" w:space="0" w:color="auto"/>
        <w:left w:val="none" w:sz="0" w:space="0" w:color="auto"/>
        <w:bottom w:val="none" w:sz="0" w:space="0" w:color="auto"/>
        <w:right w:val="none" w:sz="0" w:space="0" w:color="auto"/>
      </w:divBdr>
    </w:div>
    <w:div w:id="17858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ot.publicprocurement.be/" TargetMode="External"/><Relationship Id="rId10" Type="http://schemas.openxmlformats.org/officeDocument/2006/relationships/footnotes" Target="footnotes.xml"/><Relationship Id="rId19" Type="http://schemas.openxmlformats.org/officeDocument/2006/relationships/hyperlink" Target="https://ec.europa.eu/tools/espd/welc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stplu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Document" ma:contentTypeID="0x0101002C1C096C61898642B9E27B2F7E260A4E0075DE890F72FA8F4A8323D99B4015C490" ma:contentTypeVersion="4" ma:contentTypeDescription="" ma:contentTypeScope="" ma:versionID="326d59a84cecf6e1fe12272336f3bf10">
  <xsd:schema xmlns:xsd="http://www.w3.org/2001/XMLSchema" xmlns:xs="http://www.w3.org/2001/XMLSchema" xmlns:p="http://schemas.microsoft.com/office/2006/metadata/properties" xmlns:ns2="$ListId:Documents;" xmlns:ns3="25e76b5c-7e29-42da-b61d-db8b88eb7453" targetNamespace="http://schemas.microsoft.com/office/2006/metadata/properties" ma:root="true" ma:fieldsID="d5f920420b612ce97f06a041e18f1217" ns2:_="" ns3:_="">
    <xsd:import namespace="$ListId:Documents;"/>
    <xsd:import namespace="25e76b5c-7e29-42da-b61d-db8b88eb7453"/>
    <xsd:element name="properties">
      <xsd:complexType>
        <xsd:sequence>
          <xsd:element name="documentManagement">
            <xsd:complexType>
              <xsd:all>
                <xsd:element ref="ns2:Stage" minOccurs="0"/>
                <xsd:element ref="ns3: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Stage" ma:index="8" nillable="true" ma:displayName="Jaargang" ma:list="{D07E883A-01D0-4C01-BDE0-BB66E9C036CD}" ma:internalName="St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5e76b5c-7e29-42da-b61d-db8b88eb7453" elementFormDefault="qualified">
    <xsd:import namespace="http://schemas.microsoft.com/office/2006/documentManagement/types"/>
    <xsd:import namespace="http://schemas.microsoft.com/office/infopath/2007/PartnerControls"/>
    <xsd:element name="Commentaar" ma:index="9" nillable="true" ma:displayName="Commentaar" ma:internalName="Commenta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ge xmlns="$ListId:Documents;" xsi:nil="true"/>
    <Commentaar xmlns="25e76b5c-7e29-42da-b61d-db8b88eb7453">Version à approuver par le Comité Mixte - critères de refus P+MC encore à définir</Commenta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B5E5-DABB-4DDC-9519-A9E53F3A7338}">
  <ds:schemaRefs>
    <ds:schemaRef ds:uri="http://schemas.microsoft.com/sharepoint/v3/contenttype/forms"/>
  </ds:schemaRefs>
</ds:datastoreItem>
</file>

<file path=customXml/itemProps2.xml><?xml version="1.0" encoding="utf-8"?>
<ds:datastoreItem xmlns:ds="http://schemas.openxmlformats.org/officeDocument/2006/customXml" ds:itemID="{C817EF3E-D2DA-4F30-BFD0-540EA3051C7B}">
  <ds:schemaRefs>
    <ds:schemaRef ds:uri="http://schemas.microsoft.com/office/2006/metadata/customXsn"/>
  </ds:schemaRefs>
</ds:datastoreItem>
</file>

<file path=customXml/itemProps3.xml><?xml version="1.0" encoding="utf-8"?>
<ds:datastoreItem xmlns:ds="http://schemas.openxmlformats.org/officeDocument/2006/customXml" ds:itemID="{015C0B79-4317-40BD-A7BC-5B84F4CA3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25e76b5c-7e29-42da-b61d-db8b88eb7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DD897-DC89-45CD-A7ED-79085DB7C312}">
  <ds:schemaRefs>
    <ds:schemaRef ds:uri="http://schemas.microsoft.com/office/2006/metadata/properties"/>
    <ds:schemaRef ds:uri="http://schemas.microsoft.com/office/infopath/2007/PartnerControls"/>
    <ds:schemaRef ds:uri="$ListId:Documents;"/>
    <ds:schemaRef ds:uri="25e76b5c-7e29-42da-b61d-db8b88eb7453"/>
  </ds:schemaRefs>
</ds:datastoreItem>
</file>

<file path=customXml/itemProps5.xml><?xml version="1.0" encoding="utf-8"?>
<ds:datastoreItem xmlns:ds="http://schemas.openxmlformats.org/officeDocument/2006/customXml" ds:itemID="{AD545928-1C53-46A3-B611-7A544432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24157</Words>
  <Characters>132867</Characters>
  <Application>Microsoft Office Word</Application>
  <DocSecurity>0</DocSecurity>
  <Lines>1107</Lines>
  <Paragraphs>313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Fost Plus</Company>
  <LinksUpToDate>false</LinksUpToDate>
  <CharactersWithSpaces>156711</CharactersWithSpaces>
  <SharedDoc>false</SharedDoc>
  <HLinks>
    <vt:vector size="342" baseType="variant">
      <vt:variant>
        <vt:i4>6422652</vt:i4>
      </vt:variant>
      <vt:variant>
        <vt:i4>405</vt:i4>
      </vt:variant>
      <vt:variant>
        <vt:i4>0</vt:i4>
      </vt:variant>
      <vt:variant>
        <vt:i4>5</vt:i4>
      </vt:variant>
      <vt:variant>
        <vt:lpwstr>http://www.profost.be/</vt:lpwstr>
      </vt:variant>
      <vt:variant>
        <vt:lpwstr/>
      </vt:variant>
      <vt:variant>
        <vt:i4>7340086</vt:i4>
      </vt:variant>
      <vt:variant>
        <vt:i4>402</vt:i4>
      </vt:variant>
      <vt:variant>
        <vt:i4>0</vt:i4>
      </vt:variant>
      <vt:variant>
        <vt:i4>5</vt:i4>
      </vt:variant>
      <vt:variant>
        <vt:lpwstr>http://www.fostplus.be/</vt:lpwstr>
      </vt:variant>
      <vt:variant>
        <vt:lpwstr/>
      </vt:variant>
      <vt:variant>
        <vt:i4>1179710</vt:i4>
      </vt:variant>
      <vt:variant>
        <vt:i4>338</vt:i4>
      </vt:variant>
      <vt:variant>
        <vt:i4>0</vt:i4>
      </vt:variant>
      <vt:variant>
        <vt:i4>5</vt:i4>
      </vt:variant>
      <vt:variant>
        <vt:lpwstr/>
      </vt:variant>
      <vt:variant>
        <vt:lpwstr>_Toc201587572</vt:lpwstr>
      </vt:variant>
      <vt:variant>
        <vt:i4>1179710</vt:i4>
      </vt:variant>
      <vt:variant>
        <vt:i4>332</vt:i4>
      </vt:variant>
      <vt:variant>
        <vt:i4>0</vt:i4>
      </vt:variant>
      <vt:variant>
        <vt:i4>5</vt:i4>
      </vt:variant>
      <vt:variant>
        <vt:lpwstr/>
      </vt:variant>
      <vt:variant>
        <vt:lpwstr>_Toc201587571</vt:lpwstr>
      </vt:variant>
      <vt:variant>
        <vt:i4>1179710</vt:i4>
      </vt:variant>
      <vt:variant>
        <vt:i4>326</vt:i4>
      </vt:variant>
      <vt:variant>
        <vt:i4>0</vt:i4>
      </vt:variant>
      <vt:variant>
        <vt:i4>5</vt:i4>
      </vt:variant>
      <vt:variant>
        <vt:lpwstr/>
      </vt:variant>
      <vt:variant>
        <vt:lpwstr>_Toc201587570</vt:lpwstr>
      </vt:variant>
      <vt:variant>
        <vt:i4>1245246</vt:i4>
      </vt:variant>
      <vt:variant>
        <vt:i4>320</vt:i4>
      </vt:variant>
      <vt:variant>
        <vt:i4>0</vt:i4>
      </vt:variant>
      <vt:variant>
        <vt:i4>5</vt:i4>
      </vt:variant>
      <vt:variant>
        <vt:lpwstr/>
      </vt:variant>
      <vt:variant>
        <vt:lpwstr>_Toc201587569</vt:lpwstr>
      </vt:variant>
      <vt:variant>
        <vt:i4>1245246</vt:i4>
      </vt:variant>
      <vt:variant>
        <vt:i4>314</vt:i4>
      </vt:variant>
      <vt:variant>
        <vt:i4>0</vt:i4>
      </vt:variant>
      <vt:variant>
        <vt:i4>5</vt:i4>
      </vt:variant>
      <vt:variant>
        <vt:lpwstr/>
      </vt:variant>
      <vt:variant>
        <vt:lpwstr>_Toc201587568</vt:lpwstr>
      </vt:variant>
      <vt:variant>
        <vt:i4>1245246</vt:i4>
      </vt:variant>
      <vt:variant>
        <vt:i4>308</vt:i4>
      </vt:variant>
      <vt:variant>
        <vt:i4>0</vt:i4>
      </vt:variant>
      <vt:variant>
        <vt:i4>5</vt:i4>
      </vt:variant>
      <vt:variant>
        <vt:lpwstr/>
      </vt:variant>
      <vt:variant>
        <vt:lpwstr>_Toc201587567</vt:lpwstr>
      </vt:variant>
      <vt:variant>
        <vt:i4>1245246</vt:i4>
      </vt:variant>
      <vt:variant>
        <vt:i4>302</vt:i4>
      </vt:variant>
      <vt:variant>
        <vt:i4>0</vt:i4>
      </vt:variant>
      <vt:variant>
        <vt:i4>5</vt:i4>
      </vt:variant>
      <vt:variant>
        <vt:lpwstr/>
      </vt:variant>
      <vt:variant>
        <vt:lpwstr>_Toc201587566</vt:lpwstr>
      </vt:variant>
      <vt:variant>
        <vt:i4>1245246</vt:i4>
      </vt:variant>
      <vt:variant>
        <vt:i4>296</vt:i4>
      </vt:variant>
      <vt:variant>
        <vt:i4>0</vt:i4>
      </vt:variant>
      <vt:variant>
        <vt:i4>5</vt:i4>
      </vt:variant>
      <vt:variant>
        <vt:lpwstr/>
      </vt:variant>
      <vt:variant>
        <vt:lpwstr>_Toc201587565</vt:lpwstr>
      </vt:variant>
      <vt:variant>
        <vt:i4>1245246</vt:i4>
      </vt:variant>
      <vt:variant>
        <vt:i4>290</vt:i4>
      </vt:variant>
      <vt:variant>
        <vt:i4>0</vt:i4>
      </vt:variant>
      <vt:variant>
        <vt:i4>5</vt:i4>
      </vt:variant>
      <vt:variant>
        <vt:lpwstr/>
      </vt:variant>
      <vt:variant>
        <vt:lpwstr>_Toc201587564</vt:lpwstr>
      </vt:variant>
      <vt:variant>
        <vt:i4>1245246</vt:i4>
      </vt:variant>
      <vt:variant>
        <vt:i4>284</vt:i4>
      </vt:variant>
      <vt:variant>
        <vt:i4>0</vt:i4>
      </vt:variant>
      <vt:variant>
        <vt:i4>5</vt:i4>
      </vt:variant>
      <vt:variant>
        <vt:lpwstr/>
      </vt:variant>
      <vt:variant>
        <vt:lpwstr>_Toc201587563</vt:lpwstr>
      </vt:variant>
      <vt:variant>
        <vt:i4>1245246</vt:i4>
      </vt:variant>
      <vt:variant>
        <vt:i4>278</vt:i4>
      </vt:variant>
      <vt:variant>
        <vt:i4>0</vt:i4>
      </vt:variant>
      <vt:variant>
        <vt:i4>5</vt:i4>
      </vt:variant>
      <vt:variant>
        <vt:lpwstr/>
      </vt:variant>
      <vt:variant>
        <vt:lpwstr>_Toc201587562</vt:lpwstr>
      </vt:variant>
      <vt:variant>
        <vt:i4>1245246</vt:i4>
      </vt:variant>
      <vt:variant>
        <vt:i4>272</vt:i4>
      </vt:variant>
      <vt:variant>
        <vt:i4>0</vt:i4>
      </vt:variant>
      <vt:variant>
        <vt:i4>5</vt:i4>
      </vt:variant>
      <vt:variant>
        <vt:lpwstr/>
      </vt:variant>
      <vt:variant>
        <vt:lpwstr>_Toc201587561</vt:lpwstr>
      </vt:variant>
      <vt:variant>
        <vt:i4>1245246</vt:i4>
      </vt:variant>
      <vt:variant>
        <vt:i4>266</vt:i4>
      </vt:variant>
      <vt:variant>
        <vt:i4>0</vt:i4>
      </vt:variant>
      <vt:variant>
        <vt:i4>5</vt:i4>
      </vt:variant>
      <vt:variant>
        <vt:lpwstr/>
      </vt:variant>
      <vt:variant>
        <vt:lpwstr>_Toc201587560</vt:lpwstr>
      </vt:variant>
      <vt:variant>
        <vt:i4>1048638</vt:i4>
      </vt:variant>
      <vt:variant>
        <vt:i4>260</vt:i4>
      </vt:variant>
      <vt:variant>
        <vt:i4>0</vt:i4>
      </vt:variant>
      <vt:variant>
        <vt:i4>5</vt:i4>
      </vt:variant>
      <vt:variant>
        <vt:lpwstr/>
      </vt:variant>
      <vt:variant>
        <vt:lpwstr>_Toc201587559</vt:lpwstr>
      </vt:variant>
      <vt:variant>
        <vt:i4>1048638</vt:i4>
      </vt:variant>
      <vt:variant>
        <vt:i4>254</vt:i4>
      </vt:variant>
      <vt:variant>
        <vt:i4>0</vt:i4>
      </vt:variant>
      <vt:variant>
        <vt:i4>5</vt:i4>
      </vt:variant>
      <vt:variant>
        <vt:lpwstr/>
      </vt:variant>
      <vt:variant>
        <vt:lpwstr>_Toc201587558</vt:lpwstr>
      </vt:variant>
      <vt:variant>
        <vt:i4>1048638</vt:i4>
      </vt:variant>
      <vt:variant>
        <vt:i4>248</vt:i4>
      </vt:variant>
      <vt:variant>
        <vt:i4>0</vt:i4>
      </vt:variant>
      <vt:variant>
        <vt:i4>5</vt:i4>
      </vt:variant>
      <vt:variant>
        <vt:lpwstr/>
      </vt:variant>
      <vt:variant>
        <vt:lpwstr>_Toc201587557</vt:lpwstr>
      </vt:variant>
      <vt:variant>
        <vt:i4>1048638</vt:i4>
      </vt:variant>
      <vt:variant>
        <vt:i4>242</vt:i4>
      </vt:variant>
      <vt:variant>
        <vt:i4>0</vt:i4>
      </vt:variant>
      <vt:variant>
        <vt:i4>5</vt:i4>
      </vt:variant>
      <vt:variant>
        <vt:lpwstr/>
      </vt:variant>
      <vt:variant>
        <vt:lpwstr>_Toc201587556</vt:lpwstr>
      </vt:variant>
      <vt:variant>
        <vt:i4>1048638</vt:i4>
      </vt:variant>
      <vt:variant>
        <vt:i4>236</vt:i4>
      </vt:variant>
      <vt:variant>
        <vt:i4>0</vt:i4>
      </vt:variant>
      <vt:variant>
        <vt:i4>5</vt:i4>
      </vt:variant>
      <vt:variant>
        <vt:lpwstr/>
      </vt:variant>
      <vt:variant>
        <vt:lpwstr>_Toc201587555</vt:lpwstr>
      </vt:variant>
      <vt:variant>
        <vt:i4>1048638</vt:i4>
      </vt:variant>
      <vt:variant>
        <vt:i4>230</vt:i4>
      </vt:variant>
      <vt:variant>
        <vt:i4>0</vt:i4>
      </vt:variant>
      <vt:variant>
        <vt:i4>5</vt:i4>
      </vt:variant>
      <vt:variant>
        <vt:lpwstr/>
      </vt:variant>
      <vt:variant>
        <vt:lpwstr>_Toc201587554</vt:lpwstr>
      </vt:variant>
      <vt:variant>
        <vt:i4>1048638</vt:i4>
      </vt:variant>
      <vt:variant>
        <vt:i4>224</vt:i4>
      </vt:variant>
      <vt:variant>
        <vt:i4>0</vt:i4>
      </vt:variant>
      <vt:variant>
        <vt:i4>5</vt:i4>
      </vt:variant>
      <vt:variant>
        <vt:lpwstr/>
      </vt:variant>
      <vt:variant>
        <vt:lpwstr>_Toc201587553</vt:lpwstr>
      </vt:variant>
      <vt:variant>
        <vt:i4>1048638</vt:i4>
      </vt:variant>
      <vt:variant>
        <vt:i4>218</vt:i4>
      </vt:variant>
      <vt:variant>
        <vt:i4>0</vt:i4>
      </vt:variant>
      <vt:variant>
        <vt:i4>5</vt:i4>
      </vt:variant>
      <vt:variant>
        <vt:lpwstr/>
      </vt:variant>
      <vt:variant>
        <vt:lpwstr>_Toc201587552</vt:lpwstr>
      </vt:variant>
      <vt:variant>
        <vt:i4>1048638</vt:i4>
      </vt:variant>
      <vt:variant>
        <vt:i4>212</vt:i4>
      </vt:variant>
      <vt:variant>
        <vt:i4>0</vt:i4>
      </vt:variant>
      <vt:variant>
        <vt:i4>5</vt:i4>
      </vt:variant>
      <vt:variant>
        <vt:lpwstr/>
      </vt:variant>
      <vt:variant>
        <vt:lpwstr>_Toc201587551</vt:lpwstr>
      </vt:variant>
      <vt:variant>
        <vt:i4>1048638</vt:i4>
      </vt:variant>
      <vt:variant>
        <vt:i4>206</vt:i4>
      </vt:variant>
      <vt:variant>
        <vt:i4>0</vt:i4>
      </vt:variant>
      <vt:variant>
        <vt:i4>5</vt:i4>
      </vt:variant>
      <vt:variant>
        <vt:lpwstr/>
      </vt:variant>
      <vt:variant>
        <vt:lpwstr>_Toc201587550</vt:lpwstr>
      </vt:variant>
      <vt:variant>
        <vt:i4>1114174</vt:i4>
      </vt:variant>
      <vt:variant>
        <vt:i4>200</vt:i4>
      </vt:variant>
      <vt:variant>
        <vt:i4>0</vt:i4>
      </vt:variant>
      <vt:variant>
        <vt:i4>5</vt:i4>
      </vt:variant>
      <vt:variant>
        <vt:lpwstr/>
      </vt:variant>
      <vt:variant>
        <vt:lpwstr>_Toc201587549</vt:lpwstr>
      </vt:variant>
      <vt:variant>
        <vt:i4>1114174</vt:i4>
      </vt:variant>
      <vt:variant>
        <vt:i4>194</vt:i4>
      </vt:variant>
      <vt:variant>
        <vt:i4>0</vt:i4>
      </vt:variant>
      <vt:variant>
        <vt:i4>5</vt:i4>
      </vt:variant>
      <vt:variant>
        <vt:lpwstr/>
      </vt:variant>
      <vt:variant>
        <vt:lpwstr>_Toc201587548</vt:lpwstr>
      </vt:variant>
      <vt:variant>
        <vt:i4>1114174</vt:i4>
      </vt:variant>
      <vt:variant>
        <vt:i4>188</vt:i4>
      </vt:variant>
      <vt:variant>
        <vt:i4>0</vt:i4>
      </vt:variant>
      <vt:variant>
        <vt:i4>5</vt:i4>
      </vt:variant>
      <vt:variant>
        <vt:lpwstr/>
      </vt:variant>
      <vt:variant>
        <vt:lpwstr>_Toc201587547</vt:lpwstr>
      </vt:variant>
      <vt:variant>
        <vt:i4>1114174</vt:i4>
      </vt:variant>
      <vt:variant>
        <vt:i4>182</vt:i4>
      </vt:variant>
      <vt:variant>
        <vt:i4>0</vt:i4>
      </vt:variant>
      <vt:variant>
        <vt:i4>5</vt:i4>
      </vt:variant>
      <vt:variant>
        <vt:lpwstr/>
      </vt:variant>
      <vt:variant>
        <vt:lpwstr>_Toc201587546</vt:lpwstr>
      </vt:variant>
      <vt:variant>
        <vt:i4>1114174</vt:i4>
      </vt:variant>
      <vt:variant>
        <vt:i4>176</vt:i4>
      </vt:variant>
      <vt:variant>
        <vt:i4>0</vt:i4>
      </vt:variant>
      <vt:variant>
        <vt:i4>5</vt:i4>
      </vt:variant>
      <vt:variant>
        <vt:lpwstr/>
      </vt:variant>
      <vt:variant>
        <vt:lpwstr>_Toc201587545</vt:lpwstr>
      </vt:variant>
      <vt:variant>
        <vt:i4>1114174</vt:i4>
      </vt:variant>
      <vt:variant>
        <vt:i4>170</vt:i4>
      </vt:variant>
      <vt:variant>
        <vt:i4>0</vt:i4>
      </vt:variant>
      <vt:variant>
        <vt:i4>5</vt:i4>
      </vt:variant>
      <vt:variant>
        <vt:lpwstr/>
      </vt:variant>
      <vt:variant>
        <vt:lpwstr>_Toc201587544</vt:lpwstr>
      </vt:variant>
      <vt:variant>
        <vt:i4>1114174</vt:i4>
      </vt:variant>
      <vt:variant>
        <vt:i4>164</vt:i4>
      </vt:variant>
      <vt:variant>
        <vt:i4>0</vt:i4>
      </vt:variant>
      <vt:variant>
        <vt:i4>5</vt:i4>
      </vt:variant>
      <vt:variant>
        <vt:lpwstr/>
      </vt:variant>
      <vt:variant>
        <vt:lpwstr>_Toc201587543</vt:lpwstr>
      </vt:variant>
      <vt:variant>
        <vt:i4>1114174</vt:i4>
      </vt:variant>
      <vt:variant>
        <vt:i4>158</vt:i4>
      </vt:variant>
      <vt:variant>
        <vt:i4>0</vt:i4>
      </vt:variant>
      <vt:variant>
        <vt:i4>5</vt:i4>
      </vt:variant>
      <vt:variant>
        <vt:lpwstr/>
      </vt:variant>
      <vt:variant>
        <vt:lpwstr>_Toc201587542</vt:lpwstr>
      </vt:variant>
      <vt:variant>
        <vt:i4>1114174</vt:i4>
      </vt:variant>
      <vt:variant>
        <vt:i4>152</vt:i4>
      </vt:variant>
      <vt:variant>
        <vt:i4>0</vt:i4>
      </vt:variant>
      <vt:variant>
        <vt:i4>5</vt:i4>
      </vt:variant>
      <vt:variant>
        <vt:lpwstr/>
      </vt:variant>
      <vt:variant>
        <vt:lpwstr>_Toc201587541</vt:lpwstr>
      </vt:variant>
      <vt:variant>
        <vt:i4>1114174</vt:i4>
      </vt:variant>
      <vt:variant>
        <vt:i4>146</vt:i4>
      </vt:variant>
      <vt:variant>
        <vt:i4>0</vt:i4>
      </vt:variant>
      <vt:variant>
        <vt:i4>5</vt:i4>
      </vt:variant>
      <vt:variant>
        <vt:lpwstr/>
      </vt:variant>
      <vt:variant>
        <vt:lpwstr>_Toc201587540</vt:lpwstr>
      </vt:variant>
      <vt:variant>
        <vt:i4>1441854</vt:i4>
      </vt:variant>
      <vt:variant>
        <vt:i4>140</vt:i4>
      </vt:variant>
      <vt:variant>
        <vt:i4>0</vt:i4>
      </vt:variant>
      <vt:variant>
        <vt:i4>5</vt:i4>
      </vt:variant>
      <vt:variant>
        <vt:lpwstr/>
      </vt:variant>
      <vt:variant>
        <vt:lpwstr>_Toc201587539</vt:lpwstr>
      </vt:variant>
      <vt:variant>
        <vt:i4>1441854</vt:i4>
      </vt:variant>
      <vt:variant>
        <vt:i4>134</vt:i4>
      </vt:variant>
      <vt:variant>
        <vt:i4>0</vt:i4>
      </vt:variant>
      <vt:variant>
        <vt:i4>5</vt:i4>
      </vt:variant>
      <vt:variant>
        <vt:lpwstr/>
      </vt:variant>
      <vt:variant>
        <vt:lpwstr>_Toc201587538</vt:lpwstr>
      </vt:variant>
      <vt:variant>
        <vt:i4>1441854</vt:i4>
      </vt:variant>
      <vt:variant>
        <vt:i4>128</vt:i4>
      </vt:variant>
      <vt:variant>
        <vt:i4>0</vt:i4>
      </vt:variant>
      <vt:variant>
        <vt:i4>5</vt:i4>
      </vt:variant>
      <vt:variant>
        <vt:lpwstr/>
      </vt:variant>
      <vt:variant>
        <vt:lpwstr>_Toc201587537</vt:lpwstr>
      </vt:variant>
      <vt:variant>
        <vt:i4>1441854</vt:i4>
      </vt:variant>
      <vt:variant>
        <vt:i4>122</vt:i4>
      </vt:variant>
      <vt:variant>
        <vt:i4>0</vt:i4>
      </vt:variant>
      <vt:variant>
        <vt:i4>5</vt:i4>
      </vt:variant>
      <vt:variant>
        <vt:lpwstr/>
      </vt:variant>
      <vt:variant>
        <vt:lpwstr>_Toc201587536</vt:lpwstr>
      </vt:variant>
      <vt:variant>
        <vt:i4>1441854</vt:i4>
      </vt:variant>
      <vt:variant>
        <vt:i4>116</vt:i4>
      </vt:variant>
      <vt:variant>
        <vt:i4>0</vt:i4>
      </vt:variant>
      <vt:variant>
        <vt:i4>5</vt:i4>
      </vt:variant>
      <vt:variant>
        <vt:lpwstr/>
      </vt:variant>
      <vt:variant>
        <vt:lpwstr>_Toc201587535</vt:lpwstr>
      </vt:variant>
      <vt:variant>
        <vt:i4>1441854</vt:i4>
      </vt:variant>
      <vt:variant>
        <vt:i4>110</vt:i4>
      </vt:variant>
      <vt:variant>
        <vt:i4>0</vt:i4>
      </vt:variant>
      <vt:variant>
        <vt:i4>5</vt:i4>
      </vt:variant>
      <vt:variant>
        <vt:lpwstr/>
      </vt:variant>
      <vt:variant>
        <vt:lpwstr>_Toc201587534</vt:lpwstr>
      </vt:variant>
      <vt:variant>
        <vt:i4>1441854</vt:i4>
      </vt:variant>
      <vt:variant>
        <vt:i4>104</vt:i4>
      </vt:variant>
      <vt:variant>
        <vt:i4>0</vt:i4>
      </vt:variant>
      <vt:variant>
        <vt:i4>5</vt:i4>
      </vt:variant>
      <vt:variant>
        <vt:lpwstr/>
      </vt:variant>
      <vt:variant>
        <vt:lpwstr>_Toc201587533</vt:lpwstr>
      </vt:variant>
      <vt:variant>
        <vt:i4>1441854</vt:i4>
      </vt:variant>
      <vt:variant>
        <vt:i4>98</vt:i4>
      </vt:variant>
      <vt:variant>
        <vt:i4>0</vt:i4>
      </vt:variant>
      <vt:variant>
        <vt:i4>5</vt:i4>
      </vt:variant>
      <vt:variant>
        <vt:lpwstr/>
      </vt:variant>
      <vt:variant>
        <vt:lpwstr>_Toc201587532</vt:lpwstr>
      </vt:variant>
      <vt:variant>
        <vt:i4>1441854</vt:i4>
      </vt:variant>
      <vt:variant>
        <vt:i4>92</vt:i4>
      </vt:variant>
      <vt:variant>
        <vt:i4>0</vt:i4>
      </vt:variant>
      <vt:variant>
        <vt:i4>5</vt:i4>
      </vt:variant>
      <vt:variant>
        <vt:lpwstr/>
      </vt:variant>
      <vt:variant>
        <vt:lpwstr>_Toc201587531</vt:lpwstr>
      </vt:variant>
      <vt:variant>
        <vt:i4>1441854</vt:i4>
      </vt:variant>
      <vt:variant>
        <vt:i4>86</vt:i4>
      </vt:variant>
      <vt:variant>
        <vt:i4>0</vt:i4>
      </vt:variant>
      <vt:variant>
        <vt:i4>5</vt:i4>
      </vt:variant>
      <vt:variant>
        <vt:lpwstr/>
      </vt:variant>
      <vt:variant>
        <vt:lpwstr>_Toc201587530</vt:lpwstr>
      </vt:variant>
      <vt:variant>
        <vt:i4>1507390</vt:i4>
      </vt:variant>
      <vt:variant>
        <vt:i4>80</vt:i4>
      </vt:variant>
      <vt:variant>
        <vt:i4>0</vt:i4>
      </vt:variant>
      <vt:variant>
        <vt:i4>5</vt:i4>
      </vt:variant>
      <vt:variant>
        <vt:lpwstr/>
      </vt:variant>
      <vt:variant>
        <vt:lpwstr>_Toc201587529</vt:lpwstr>
      </vt:variant>
      <vt:variant>
        <vt:i4>1507390</vt:i4>
      </vt:variant>
      <vt:variant>
        <vt:i4>74</vt:i4>
      </vt:variant>
      <vt:variant>
        <vt:i4>0</vt:i4>
      </vt:variant>
      <vt:variant>
        <vt:i4>5</vt:i4>
      </vt:variant>
      <vt:variant>
        <vt:lpwstr/>
      </vt:variant>
      <vt:variant>
        <vt:lpwstr>_Toc201587528</vt:lpwstr>
      </vt:variant>
      <vt:variant>
        <vt:i4>1507390</vt:i4>
      </vt:variant>
      <vt:variant>
        <vt:i4>68</vt:i4>
      </vt:variant>
      <vt:variant>
        <vt:i4>0</vt:i4>
      </vt:variant>
      <vt:variant>
        <vt:i4>5</vt:i4>
      </vt:variant>
      <vt:variant>
        <vt:lpwstr/>
      </vt:variant>
      <vt:variant>
        <vt:lpwstr>_Toc201587527</vt:lpwstr>
      </vt:variant>
      <vt:variant>
        <vt:i4>1507390</vt:i4>
      </vt:variant>
      <vt:variant>
        <vt:i4>62</vt:i4>
      </vt:variant>
      <vt:variant>
        <vt:i4>0</vt:i4>
      </vt:variant>
      <vt:variant>
        <vt:i4>5</vt:i4>
      </vt:variant>
      <vt:variant>
        <vt:lpwstr/>
      </vt:variant>
      <vt:variant>
        <vt:lpwstr>_Toc201587526</vt:lpwstr>
      </vt:variant>
      <vt:variant>
        <vt:i4>1507390</vt:i4>
      </vt:variant>
      <vt:variant>
        <vt:i4>56</vt:i4>
      </vt:variant>
      <vt:variant>
        <vt:i4>0</vt:i4>
      </vt:variant>
      <vt:variant>
        <vt:i4>5</vt:i4>
      </vt:variant>
      <vt:variant>
        <vt:lpwstr/>
      </vt:variant>
      <vt:variant>
        <vt:lpwstr>_Toc201587525</vt:lpwstr>
      </vt:variant>
      <vt:variant>
        <vt:i4>1507390</vt:i4>
      </vt:variant>
      <vt:variant>
        <vt:i4>50</vt:i4>
      </vt:variant>
      <vt:variant>
        <vt:i4>0</vt:i4>
      </vt:variant>
      <vt:variant>
        <vt:i4>5</vt:i4>
      </vt:variant>
      <vt:variant>
        <vt:lpwstr/>
      </vt:variant>
      <vt:variant>
        <vt:lpwstr>_Toc201587524</vt:lpwstr>
      </vt:variant>
      <vt:variant>
        <vt:i4>1507390</vt:i4>
      </vt:variant>
      <vt:variant>
        <vt:i4>44</vt:i4>
      </vt:variant>
      <vt:variant>
        <vt:i4>0</vt:i4>
      </vt:variant>
      <vt:variant>
        <vt:i4>5</vt:i4>
      </vt:variant>
      <vt:variant>
        <vt:lpwstr/>
      </vt:variant>
      <vt:variant>
        <vt:lpwstr>_Toc201587523</vt:lpwstr>
      </vt:variant>
      <vt:variant>
        <vt:i4>1507390</vt:i4>
      </vt:variant>
      <vt:variant>
        <vt:i4>38</vt:i4>
      </vt:variant>
      <vt:variant>
        <vt:i4>0</vt:i4>
      </vt:variant>
      <vt:variant>
        <vt:i4>5</vt:i4>
      </vt:variant>
      <vt:variant>
        <vt:lpwstr/>
      </vt:variant>
      <vt:variant>
        <vt:lpwstr>_Toc201587522</vt:lpwstr>
      </vt:variant>
      <vt:variant>
        <vt:i4>1507390</vt:i4>
      </vt:variant>
      <vt:variant>
        <vt:i4>32</vt:i4>
      </vt:variant>
      <vt:variant>
        <vt:i4>0</vt:i4>
      </vt:variant>
      <vt:variant>
        <vt:i4>5</vt:i4>
      </vt:variant>
      <vt:variant>
        <vt:lpwstr/>
      </vt:variant>
      <vt:variant>
        <vt:lpwstr>_Toc201587521</vt:lpwstr>
      </vt:variant>
      <vt:variant>
        <vt:i4>1507390</vt:i4>
      </vt:variant>
      <vt:variant>
        <vt:i4>26</vt:i4>
      </vt:variant>
      <vt:variant>
        <vt:i4>0</vt:i4>
      </vt:variant>
      <vt:variant>
        <vt:i4>5</vt:i4>
      </vt:variant>
      <vt:variant>
        <vt:lpwstr/>
      </vt:variant>
      <vt:variant>
        <vt:lpwstr>_Toc201587520</vt:lpwstr>
      </vt:variant>
      <vt:variant>
        <vt:i4>1310782</vt:i4>
      </vt:variant>
      <vt:variant>
        <vt:i4>20</vt:i4>
      </vt:variant>
      <vt:variant>
        <vt:i4>0</vt:i4>
      </vt:variant>
      <vt:variant>
        <vt:i4>5</vt:i4>
      </vt:variant>
      <vt:variant>
        <vt:lpwstr/>
      </vt:variant>
      <vt:variant>
        <vt:lpwstr>_Toc201587519</vt:lpwstr>
      </vt:variant>
      <vt:variant>
        <vt:i4>1310782</vt:i4>
      </vt:variant>
      <vt:variant>
        <vt:i4>14</vt:i4>
      </vt:variant>
      <vt:variant>
        <vt:i4>0</vt:i4>
      </vt:variant>
      <vt:variant>
        <vt:i4>5</vt:i4>
      </vt:variant>
      <vt:variant>
        <vt:lpwstr/>
      </vt:variant>
      <vt:variant>
        <vt:lpwstr>_Toc201587518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Arnaud Martin</dc:creator>
  <cp:lastModifiedBy>Quentin Mathot</cp:lastModifiedBy>
  <cp:revision>7</cp:revision>
  <dcterms:created xsi:type="dcterms:W3CDTF">2020-06-12T14:23:00Z</dcterms:created>
  <dcterms:modified xsi:type="dcterms:W3CDTF">2020-06-12T14:26:00Z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0x0101002C1C096C61898642B9E27B2F7E260A4E0075DE890F72FA8F4A8323D99B4015C490</vt:lpwstr>
  </property>
</Properties>
</file>